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3GPP TSG RAN WG1 Ad-Hoc Meeting 1901</w:t>
      </w:r>
      <w:r>
        <w:rPr>
          <w:rFonts w:ascii="Arial" w:hAnsi="Arial" w:cs="Arial"/>
          <w:b/>
          <w:sz w:val="22"/>
          <w:szCs w:val="22"/>
        </w:rPr>
        <w:tab/>
      </w:r>
      <w:r>
        <w:rPr>
          <w:rFonts w:ascii="Arial" w:hAnsi="Arial" w:cs="Arial"/>
          <w:b/>
          <w:sz w:val="22"/>
          <w:szCs w:val="22"/>
        </w:rPr>
        <w:t>R1-190008</w:t>
      </w:r>
      <w:r>
        <w:rPr>
          <w:rFonts w:ascii="Arial" w:hAnsi="Arial" w:cs="Arial"/>
          <w:b/>
          <w:sz w:val="22"/>
          <w:szCs w:val="22"/>
          <w:lang w:eastAsia="zh-CN"/>
        </w:rPr>
        <w:t>2</w:t>
      </w:r>
    </w:p>
    <w:p>
      <w:pPr>
        <w:tabs>
          <w:tab w:val="right" w:pos="9630"/>
        </w:tabs>
        <w:spacing w:after="0"/>
        <w:rPr>
          <w:rFonts w:ascii="Arial" w:hAnsi="Arial" w:cs="Arial"/>
          <w:b/>
          <w:sz w:val="22"/>
          <w:szCs w:val="22"/>
        </w:rPr>
      </w:pPr>
      <w:r>
        <w:rPr>
          <w:rFonts w:ascii="Arial" w:hAnsi="Arial" w:cs="Arial"/>
          <w:b/>
          <w:sz w:val="22"/>
          <w:szCs w:val="22"/>
        </w:rPr>
        <w:t>Taipei, January 21</w:t>
      </w:r>
      <w:r>
        <w:rPr>
          <w:rFonts w:ascii="Arial" w:hAnsi="Arial" w:cs="Arial"/>
          <w:b/>
          <w:sz w:val="22"/>
          <w:szCs w:val="22"/>
          <w:vertAlign w:val="superscript"/>
        </w:rPr>
        <w:t>st</w:t>
      </w:r>
      <w:r>
        <w:rPr>
          <w:rFonts w:ascii="Arial" w:hAnsi="Arial" w:cs="Arial"/>
          <w:b/>
          <w:sz w:val="22"/>
          <w:szCs w:val="22"/>
        </w:rPr>
        <w:t xml:space="preserve"> – 25</w:t>
      </w:r>
      <w:r>
        <w:rPr>
          <w:rFonts w:ascii="Arial" w:hAnsi="Arial" w:cs="Arial"/>
          <w:b/>
          <w:sz w:val="22"/>
          <w:szCs w:val="22"/>
          <w:vertAlign w:val="superscript"/>
        </w:rPr>
        <w:t>th</w:t>
      </w:r>
      <w:r>
        <w:rPr>
          <w:rFonts w:ascii="Arial" w:hAnsi="Arial" w:cs="Arial"/>
          <w:b/>
          <w:sz w:val="22"/>
          <w:szCs w:val="22"/>
        </w:rPr>
        <w:t>, 2019</w:t>
      </w:r>
      <w:r>
        <w:rPr>
          <w:rFonts w:ascii="Arial" w:hAnsi="Arial" w:cs="Arial"/>
          <w:b/>
          <w:sz w:val="22"/>
          <w:szCs w:val="22"/>
        </w:rPr>
        <w:tab/>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b/>
        </w:rPr>
        <w:t xml:space="preserve">Discussion on </w:t>
      </w:r>
      <w:r>
        <w:rPr>
          <w:rFonts w:ascii="Arial" w:hAnsi="Arial"/>
          <w:b/>
          <w:lang w:eastAsia="zh-CN"/>
        </w:rPr>
        <w:t>cross-carrier scheduling with different numerologies</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7.2.13.</w:t>
      </w:r>
      <w:r>
        <w:rPr>
          <w:rFonts w:ascii="Arial" w:hAnsi="Arial"/>
          <w:b/>
          <w:lang w:eastAsia="zh-CN"/>
        </w:rPr>
        <w:t>2</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lang w:eastAsia="zh-CN"/>
        </w:rPr>
      </w:pPr>
      <w:r>
        <w:rPr>
          <w:rFonts w:hint="eastAsia"/>
          <w:lang w:val="en-GB" w:eastAsia="zh-CN"/>
        </w:rPr>
        <w:t>I</w:t>
      </w:r>
      <w:r>
        <w:rPr>
          <w:lang w:val="en-GB" w:eastAsia="zh-CN"/>
        </w:rPr>
        <w:t>n RAN#81</w:t>
      </w:r>
      <w:r>
        <w:rPr>
          <w:rFonts w:hint="eastAsia"/>
          <w:lang w:eastAsia="zh-CN"/>
        </w:rPr>
        <w:t xml:space="preserve"> </w:t>
      </w:r>
      <w:r>
        <w:rPr>
          <w:rFonts w:hint="eastAsia"/>
          <w:lang w:eastAsia="zh-CN"/>
        </w:rPr>
        <w:fldChar w:fldCharType="begin"/>
      </w:r>
      <w:r>
        <w:rPr>
          <w:rFonts w:hint="eastAsia"/>
          <w:lang w:eastAsia="zh-CN"/>
        </w:rPr>
        <w:instrText xml:space="preserve"> REF _Ref5899 \n \h </w:instrText>
      </w:r>
      <w:r>
        <w:rPr>
          <w:rFonts w:hint="eastAsia"/>
          <w:lang w:eastAsia="zh-CN"/>
        </w:rPr>
        <w:fldChar w:fldCharType="separate"/>
      </w:r>
      <w:r>
        <w:rPr>
          <w:lang w:eastAsia="zh-CN"/>
        </w:rPr>
        <w:t>[1]</w:t>
      </w:r>
      <w:r>
        <w:rPr>
          <w:rFonts w:hint="eastAsia"/>
          <w:lang w:eastAsia="zh-CN"/>
        </w:rPr>
        <w:fldChar w:fldCharType="end"/>
      </w:r>
      <w:r>
        <w:rPr>
          <w:lang w:val="en-GB" w:eastAsia="zh-CN"/>
        </w:rPr>
        <w:t>, it was endorsed that cross-carrier scheduling with different numerologies is postponed to Rel-16</w:t>
      </w:r>
      <w:r>
        <w:rPr>
          <w:rFonts w:hint="eastAsia"/>
          <w:lang w:eastAsia="zh-CN"/>
        </w:rPr>
        <w:t xml:space="preserve"> </w:t>
      </w:r>
      <w:r>
        <w:rPr>
          <w:rFonts w:hint="eastAsia"/>
          <w:lang w:eastAsia="zh-CN"/>
        </w:rPr>
        <w:fldChar w:fldCharType="begin"/>
      </w:r>
      <w:r>
        <w:rPr>
          <w:rFonts w:hint="eastAsia"/>
          <w:lang w:eastAsia="zh-CN"/>
        </w:rPr>
        <w:instrText xml:space="preserve"> REF _Ref5922 \n \h </w:instrText>
      </w:r>
      <w:r>
        <w:rPr>
          <w:rFonts w:hint="eastAsia"/>
          <w:lang w:eastAsia="zh-CN"/>
        </w:rPr>
        <w:fldChar w:fldCharType="separate"/>
      </w:r>
      <w:r>
        <w:rPr>
          <w:lang w:eastAsia="zh-CN"/>
        </w:rPr>
        <w:t>[2]</w:t>
      </w:r>
      <w:r>
        <w:rPr>
          <w:rFonts w:hint="eastAsia"/>
          <w:lang w:eastAsia="zh-CN"/>
        </w:rPr>
        <w:fldChar w:fldCharType="end"/>
      </w:r>
      <w:r>
        <w:rPr>
          <w:lang w:val="en-GB" w:eastAsia="zh-CN"/>
        </w:rPr>
        <w:t>.</w:t>
      </w:r>
      <w:r>
        <w:rPr>
          <w:rFonts w:hint="eastAsia"/>
          <w:lang w:eastAsia="zh-CN"/>
        </w:rPr>
        <w:t xml:space="preserve"> Although some issues related to </w:t>
      </w:r>
      <w:r>
        <w:rPr>
          <w:lang w:eastAsia="zh-CN"/>
        </w:rPr>
        <w:t>cross</w:t>
      </w:r>
      <w:r>
        <w:rPr>
          <w:rFonts w:hint="eastAsia"/>
          <w:lang w:eastAsia="zh-CN"/>
        </w:rPr>
        <w:t xml:space="preserve">-carrier scheduling with different numerologies have been agreed and reflected in the Rel-15 specifications, </w:t>
      </w:r>
      <w:r>
        <w:rPr>
          <w:lang w:eastAsia="zh-CN"/>
        </w:rPr>
        <w:t>the already-completed part is</w:t>
      </w:r>
      <w:r>
        <w:rPr>
          <w:rFonts w:hint="eastAsia"/>
          <w:lang w:eastAsia="zh-CN"/>
        </w:rPr>
        <w:t xml:space="preserve"> still ke</w:t>
      </w:r>
      <w:r>
        <w:rPr>
          <w:lang w:eastAsia="zh-CN"/>
        </w:rPr>
        <w:t>pt</w:t>
      </w:r>
      <w:r>
        <w:rPr>
          <w:rFonts w:hint="eastAsia"/>
          <w:lang w:eastAsia="zh-CN"/>
        </w:rPr>
        <w:t xml:space="preserve"> </w:t>
      </w:r>
      <w:r>
        <w:rPr>
          <w:lang w:eastAsia="zh-CN"/>
        </w:rPr>
        <w:t>in the specs while the leftover work is postponed to Rel-16.</w:t>
      </w:r>
    </w:p>
    <w:p>
      <w:pPr>
        <w:rPr>
          <w:lang w:eastAsia="zh-CN"/>
        </w:rPr>
      </w:pPr>
      <w:r>
        <w:rPr>
          <w:rFonts w:hint="eastAsia"/>
          <w:lang w:eastAsia="zh-CN"/>
        </w:rPr>
        <w:t xml:space="preserve">In this contribution, we discuss the </w:t>
      </w:r>
      <w:r>
        <w:rPr>
          <w:lang w:eastAsia="zh-CN"/>
        </w:rPr>
        <w:t xml:space="preserve">remaining </w:t>
      </w:r>
      <w:r>
        <w:rPr>
          <w:rFonts w:hint="eastAsia"/>
          <w:lang w:eastAsia="zh-CN"/>
        </w:rPr>
        <w:t xml:space="preserve">issues on cross-carrier scheduling with different numerologies, i.e., BD/CCE budget, Causality constraint, QCL determination, valid scheduling DCI capacity and UE processing capability#2. </w:t>
      </w:r>
    </w:p>
    <w:p>
      <w:pPr>
        <w:rPr>
          <w:lang w:eastAsia="zh-CN"/>
        </w:rPr>
      </w:pPr>
      <w:r>
        <w:rPr>
          <w:rFonts w:hint="eastAsia"/>
          <w:lang w:eastAsia="zh-CN"/>
        </w:rPr>
        <w:t>Sinc</w:t>
      </w:r>
      <w:r>
        <w:rPr>
          <w:lang w:eastAsia="zh-CN"/>
        </w:rPr>
        <w:t>e these issues are inherited from Rel-15, for better understanding, the background the current status of each issue will be introduced prior to our proposals.</w:t>
      </w:r>
    </w:p>
    <w:p>
      <w:pPr>
        <w:pStyle w:val="2"/>
        <w:rPr>
          <w:lang w:eastAsia="zh-CN"/>
        </w:rPr>
      </w:pPr>
      <w:r>
        <w:rPr>
          <w:lang w:eastAsia="zh-CN"/>
        </w:rPr>
        <w:t>BD/CCE budget</w:t>
      </w:r>
    </w:p>
    <w:p>
      <w:pPr>
        <w:pStyle w:val="3"/>
        <w:rPr>
          <w:szCs w:val="22"/>
          <w:lang w:val="en-US" w:eastAsia="zh-CN"/>
        </w:rPr>
      </w:pPr>
      <w:r>
        <w:rPr>
          <w:rFonts w:hint="eastAsia"/>
          <w:szCs w:val="22"/>
          <w:lang w:val="en-US" w:eastAsia="zh-CN"/>
        </w:rPr>
        <w:t>Background and current status</w:t>
      </w:r>
    </w:p>
    <w:p>
      <w:pPr>
        <w:rPr>
          <w:lang w:eastAsia="zh-CN"/>
        </w:rPr>
      </w:pPr>
      <w:r>
        <w:rPr>
          <w:rFonts w:hint="eastAsia"/>
          <w:lang w:eastAsia="zh-CN"/>
        </w:rPr>
        <w:t xml:space="preserve">In Rel-15, all the cases of self-scheduling have been finalized. While some remaining cases of BD/CCE budget with cross-carrier scheduling need to be handled in Rel-16. The current status of this issue can be summarized as </w:t>
      </w:r>
      <w:r>
        <w:rPr>
          <w:rFonts w:hint="eastAsia"/>
          <w:lang w:eastAsia="zh-CN"/>
        </w:rPr>
        <w:fldChar w:fldCharType="begin"/>
      </w:r>
      <w:r>
        <w:rPr>
          <w:rFonts w:hint="eastAsia"/>
          <w:lang w:eastAsia="zh-CN"/>
        </w:rPr>
        <w:instrText xml:space="preserve"> REF _Ref337 \h </w:instrText>
      </w:r>
      <w:r>
        <w:rPr>
          <w:rFonts w:hint="eastAsia"/>
          <w:lang w:eastAsia="zh-CN"/>
        </w:rPr>
        <w:fldChar w:fldCharType="separate"/>
      </w:r>
      <w:r>
        <w:rPr>
          <w:b/>
          <w:bCs/>
        </w:rPr>
        <w:t>Table 1</w:t>
      </w:r>
      <w:r>
        <w:rPr>
          <w:rFonts w:hint="eastAsia"/>
          <w:lang w:eastAsia="zh-CN"/>
        </w:rPr>
        <w:fldChar w:fldCharType="end"/>
      </w:r>
      <w:r>
        <w:rPr>
          <w:rFonts w:hint="eastAsia"/>
          <w:lang w:eastAsia="zh-CN"/>
        </w:rPr>
        <w:t xml:space="preserve">, which is an excerpt from </w:t>
      </w:r>
      <w:r>
        <w:rPr>
          <w:rFonts w:hint="eastAsia"/>
          <w:lang w:eastAsia="zh-CN"/>
        </w:rPr>
        <w:fldChar w:fldCharType="begin"/>
      </w:r>
      <w:r>
        <w:rPr>
          <w:rFonts w:hint="eastAsia"/>
          <w:lang w:eastAsia="zh-CN"/>
        </w:rPr>
        <w:instrText xml:space="preserve"> REF _Ref31965 \n \h </w:instrText>
      </w:r>
      <w:r>
        <w:rPr>
          <w:rFonts w:hint="eastAsia"/>
          <w:lang w:eastAsia="zh-CN"/>
        </w:rPr>
        <w:fldChar w:fldCharType="separate"/>
      </w:r>
      <w:r>
        <w:rPr>
          <w:lang w:eastAsia="zh-CN"/>
        </w:rPr>
        <w:t>[3]</w:t>
      </w:r>
      <w:r>
        <w:rPr>
          <w:rFonts w:hint="eastAsia"/>
          <w:lang w:eastAsia="zh-CN"/>
        </w:rPr>
        <w:fldChar w:fldCharType="end"/>
      </w:r>
      <w:r>
        <w:rPr>
          <w:rFonts w:hint="eastAsia"/>
          <w:lang w:eastAsia="zh-CN"/>
        </w:rPr>
        <w:t xml:space="preserve"> with incorporating the agreements for case 6-2 and case 7-2 reached in RAN1#94b </w:t>
      </w:r>
      <w:r>
        <w:rPr>
          <w:rFonts w:hint="eastAsia"/>
          <w:lang w:eastAsia="zh-CN"/>
        </w:rPr>
        <w:fldChar w:fldCharType="begin"/>
      </w:r>
      <w:r>
        <w:rPr>
          <w:rFonts w:hint="eastAsia"/>
          <w:lang w:eastAsia="zh-CN"/>
        </w:rPr>
        <w:instrText xml:space="preserve"> REF _Ref32102 \n \h </w:instrText>
      </w:r>
      <w:r>
        <w:rPr>
          <w:rFonts w:hint="eastAsia"/>
          <w:lang w:eastAsia="zh-CN"/>
        </w:rPr>
        <w:fldChar w:fldCharType="separate"/>
      </w:r>
      <w:r>
        <w:rPr>
          <w:lang w:eastAsia="zh-CN"/>
        </w:rPr>
        <w:t>[4]</w:t>
      </w:r>
      <w:r>
        <w:rPr>
          <w:rFonts w:hint="eastAsia"/>
          <w:lang w:eastAsia="zh-CN"/>
        </w:rPr>
        <w:fldChar w:fldCharType="end"/>
      </w:r>
      <w:r>
        <w:rPr>
          <w:rFonts w:hint="eastAsia"/>
          <w:lang w:eastAsia="zh-CN"/>
        </w:rPr>
        <w:t xml:space="preserve">. </w:t>
      </w:r>
    </w:p>
    <w:p>
      <w:pPr>
        <w:pStyle w:val="30"/>
        <w:jc w:val="center"/>
        <w:rPr>
          <w:b w:val="0"/>
          <w:bCs w:val="0"/>
          <w:lang w:eastAsia="zh-CN"/>
        </w:rPr>
      </w:pPr>
      <w:bookmarkStart w:id="3" w:name="_Ref337"/>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w:t>
      </w:r>
      <w:r>
        <w:rPr>
          <w:b w:val="0"/>
          <w:bCs w:val="0"/>
        </w:rPr>
        <w:fldChar w:fldCharType="end"/>
      </w:r>
      <w:bookmarkEnd w:id="3"/>
      <w:r>
        <w:rPr>
          <w:rFonts w:hint="eastAsia"/>
          <w:b w:val="0"/>
          <w:bCs w:val="0"/>
          <w:lang w:eastAsia="zh-CN"/>
        </w:rPr>
        <w:t xml:space="preserve"> Current status for BD/CCE budget with CA</w:t>
      </w:r>
    </w:p>
    <w:tbl>
      <w:tblPr>
        <w:tblStyle w:val="55"/>
        <w:tblW w:w="95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
        <w:gridCol w:w="1406"/>
        <w:gridCol w:w="1718"/>
        <w:gridCol w:w="1851"/>
        <w:gridCol w:w="1583"/>
        <w:gridCol w:w="20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1" w:hRule="atLeast"/>
          <w:jc w:val="center"/>
        </w:trPr>
        <w:tc>
          <w:tcPr>
            <w:tcW w:w="917" w:type="dxa"/>
            <w:vMerge w:val="restart"/>
            <w:tcBorders>
              <w:top w:val="single" w:color="auto" w:sz="4" w:space="0"/>
              <w:left w:val="single" w:color="auto" w:sz="4" w:space="0"/>
              <w:bottom w:val="single" w:color="auto" w:sz="4" w:space="0"/>
              <w:right w:val="single" w:color="auto" w:sz="4" w:space="0"/>
            </w:tcBorders>
            <w:shd w:val="clear" w:color="auto" w:fill="FBD4B4"/>
          </w:tcPr>
          <w:p>
            <w:pPr>
              <w:keepNext/>
              <w:keepLines/>
              <w:spacing w:after="0"/>
              <w:rPr>
                <w:rFonts w:ascii="Calibri" w:hAnsi="Calibri" w:eastAsia="MS Mincho" w:cs="Calibri"/>
                <w:sz w:val="18"/>
                <w:lang w:val="en-GB" w:eastAsia="ja-JP"/>
              </w:rPr>
            </w:pPr>
            <w:r>
              <w:rPr>
                <w:rFonts w:ascii="Calibri" w:hAnsi="Calibri" w:eastAsia="MS Mincho" w:cs="Calibri"/>
                <w:sz w:val="18"/>
                <w:lang w:val="en-GB"/>
              </w:rPr>
              <w:t>Relationship between 4, y and T</w:t>
            </w:r>
          </w:p>
        </w:tc>
        <w:tc>
          <w:tcPr>
            <w:tcW w:w="3124" w:type="dxa"/>
            <w:gridSpan w:val="2"/>
            <w:tcBorders>
              <w:top w:val="single" w:color="auto" w:sz="4" w:space="0"/>
              <w:left w:val="single" w:color="auto" w:sz="4" w:space="0"/>
              <w:bottom w:val="single" w:color="auto" w:sz="4" w:space="0"/>
              <w:right w:val="single" w:color="auto" w:sz="4" w:space="0"/>
            </w:tcBorders>
            <w:shd w:val="clear" w:color="auto" w:fill="FBD4B4"/>
          </w:tcPr>
          <w:p>
            <w:pPr>
              <w:keepNext/>
              <w:keepLines/>
              <w:spacing w:after="0"/>
              <w:rPr>
                <w:rFonts w:ascii="Calibri" w:hAnsi="Calibri" w:eastAsia="MS Mincho" w:cs="Calibri"/>
                <w:sz w:val="18"/>
                <w:lang w:val="en-GB"/>
              </w:rPr>
            </w:pPr>
            <w:r>
              <w:rPr>
                <w:rFonts w:ascii="Calibri" w:hAnsi="Calibri" w:eastAsia="MS Mincho" w:cs="Calibri"/>
                <w:sz w:val="18"/>
                <w:lang w:val="en-GB"/>
              </w:rPr>
              <w:t>Self-scheduling</w:t>
            </w:r>
          </w:p>
        </w:tc>
        <w:tc>
          <w:tcPr>
            <w:tcW w:w="5519" w:type="dxa"/>
            <w:gridSpan w:val="3"/>
            <w:tcBorders>
              <w:top w:val="single" w:color="auto" w:sz="4" w:space="0"/>
              <w:left w:val="single" w:color="auto" w:sz="4" w:space="0"/>
              <w:bottom w:val="single" w:color="auto" w:sz="4" w:space="0"/>
              <w:right w:val="single" w:color="auto" w:sz="4" w:space="0"/>
            </w:tcBorders>
            <w:shd w:val="clear" w:color="auto" w:fill="FBD4B4"/>
          </w:tcPr>
          <w:p>
            <w:pPr>
              <w:keepNext/>
              <w:keepLines/>
              <w:spacing w:after="0"/>
              <w:rPr>
                <w:rFonts w:ascii="Calibri" w:hAnsi="Calibri" w:eastAsia="MS Mincho" w:cs="Calibri"/>
                <w:sz w:val="18"/>
                <w:lang w:val="en-GB"/>
              </w:rPr>
            </w:pPr>
            <w:r>
              <w:rPr>
                <w:rFonts w:ascii="Calibri" w:hAnsi="Calibri" w:eastAsia="MS Mincho" w:cs="Calibri"/>
                <w:sz w:val="18"/>
                <w:lang w:val="en-GB"/>
              </w:rPr>
              <w:t>Cross-carrier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 w:hRule="atLeast"/>
          <w:jc w:val="center"/>
        </w:trPr>
        <w:tc>
          <w:tcPr>
            <w:tcW w:w="91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Calibri" w:hAnsi="Calibri" w:eastAsia="MS Mincho" w:cs="Calibri"/>
                <w:sz w:val="18"/>
                <w:lang w:val="en-GB" w:eastAsia="ja-JP"/>
              </w:rPr>
            </w:pPr>
          </w:p>
        </w:tc>
        <w:tc>
          <w:tcPr>
            <w:tcW w:w="1406" w:type="dxa"/>
            <w:vMerge w:val="restart"/>
            <w:tcBorders>
              <w:top w:val="single" w:color="auto" w:sz="4" w:space="0"/>
              <w:left w:val="single" w:color="auto" w:sz="4" w:space="0"/>
              <w:bottom w:val="single" w:color="auto" w:sz="4" w:space="0"/>
              <w:right w:val="single" w:color="auto" w:sz="4" w:space="0"/>
            </w:tcBorders>
            <w:shd w:val="clear" w:color="auto" w:fill="FBD4B4"/>
          </w:tcPr>
          <w:p>
            <w:pPr>
              <w:keepNext/>
              <w:keepLines/>
              <w:spacing w:after="0"/>
              <w:rPr>
                <w:rFonts w:ascii="Calibri" w:hAnsi="Calibri" w:eastAsia="MS Mincho" w:cs="Calibri"/>
                <w:sz w:val="18"/>
                <w:lang w:val="en-GB"/>
              </w:rPr>
            </w:pPr>
            <w:r>
              <w:rPr>
                <w:rFonts w:ascii="Calibri" w:hAnsi="Calibri" w:eastAsia="MS Mincho" w:cs="Calibri"/>
                <w:sz w:val="18"/>
                <w:lang w:val="en-GB"/>
              </w:rPr>
              <w:t>Same numerology</w:t>
            </w:r>
          </w:p>
        </w:tc>
        <w:tc>
          <w:tcPr>
            <w:tcW w:w="1718" w:type="dxa"/>
            <w:vMerge w:val="restart"/>
            <w:tcBorders>
              <w:top w:val="single" w:color="auto" w:sz="4" w:space="0"/>
              <w:left w:val="single" w:color="auto" w:sz="4" w:space="0"/>
              <w:bottom w:val="single" w:color="auto" w:sz="4" w:space="0"/>
              <w:right w:val="single" w:color="auto" w:sz="4" w:space="0"/>
            </w:tcBorders>
            <w:shd w:val="clear" w:color="auto" w:fill="FBD4B4"/>
          </w:tcPr>
          <w:p>
            <w:pPr>
              <w:keepNext/>
              <w:keepLines/>
              <w:spacing w:after="0"/>
              <w:rPr>
                <w:rFonts w:ascii="Calibri" w:hAnsi="Calibri" w:eastAsia="MS Mincho" w:cs="Calibri"/>
                <w:sz w:val="18"/>
                <w:lang w:val="en-GB"/>
              </w:rPr>
            </w:pPr>
            <w:r>
              <w:rPr>
                <w:rFonts w:ascii="Calibri" w:hAnsi="Calibri" w:eastAsia="MS Mincho" w:cs="Calibri"/>
                <w:sz w:val="18"/>
                <w:lang w:val="en-GB"/>
              </w:rPr>
              <w:t>Mixed numerologies</w:t>
            </w:r>
          </w:p>
        </w:tc>
        <w:tc>
          <w:tcPr>
            <w:tcW w:w="1851" w:type="dxa"/>
            <w:vMerge w:val="restart"/>
            <w:tcBorders>
              <w:top w:val="single" w:color="auto" w:sz="4" w:space="0"/>
              <w:left w:val="single" w:color="auto" w:sz="4" w:space="0"/>
              <w:bottom w:val="single" w:color="auto" w:sz="4" w:space="0"/>
              <w:right w:val="single" w:color="auto" w:sz="4" w:space="0"/>
            </w:tcBorders>
            <w:shd w:val="clear" w:color="auto" w:fill="FBD4B4"/>
          </w:tcPr>
          <w:p>
            <w:pPr>
              <w:keepNext/>
              <w:keepLines/>
              <w:spacing w:after="0"/>
              <w:rPr>
                <w:rFonts w:ascii="Calibri" w:hAnsi="Calibri" w:eastAsia="MS Mincho" w:cs="Calibri"/>
                <w:sz w:val="18"/>
                <w:lang w:val="en-GB"/>
              </w:rPr>
            </w:pPr>
            <w:r>
              <w:rPr>
                <w:rFonts w:ascii="Calibri" w:hAnsi="Calibri" w:eastAsia="MS Mincho" w:cs="Calibri"/>
                <w:sz w:val="18"/>
                <w:lang w:val="en-GB"/>
              </w:rPr>
              <w:t>Same numerology</w:t>
            </w:r>
          </w:p>
          <w:p>
            <w:pPr>
              <w:keepNext/>
              <w:keepLines/>
              <w:spacing w:after="0"/>
              <w:rPr>
                <w:rFonts w:ascii="Calibri" w:hAnsi="Calibri" w:eastAsia="MS Mincho" w:cs="Calibri"/>
                <w:sz w:val="18"/>
                <w:lang w:val="en-GB"/>
              </w:rPr>
            </w:pPr>
            <w:r>
              <w:rPr>
                <w:rFonts w:ascii="Calibri" w:hAnsi="Calibri" w:eastAsia="MS Mincho" w:cs="Calibri"/>
                <w:color w:val="FF0000"/>
                <w:sz w:val="18"/>
                <w:lang w:val="en-GB"/>
              </w:rPr>
              <w:t>(for all DL serving cells)</w:t>
            </w:r>
          </w:p>
        </w:tc>
        <w:tc>
          <w:tcPr>
            <w:tcW w:w="3668" w:type="dxa"/>
            <w:gridSpan w:val="2"/>
            <w:tcBorders>
              <w:top w:val="single" w:color="auto" w:sz="4" w:space="0"/>
              <w:left w:val="single" w:color="auto" w:sz="4" w:space="0"/>
              <w:bottom w:val="single" w:color="auto" w:sz="4" w:space="0"/>
              <w:right w:val="single" w:color="auto" w:sz="4" w:space="0"/>
            </w:tcBorders>
            <w:shd w:val="clear" w:color="auto" w:fill="FBD4B4"/>
          </w:tcPr>
          <w:p>
            <w:pPr>
              <w:keepNext/>
              <w:keepLines/>
              <w:spacing w:after="0"/>
              <w:rPr>
                <w:rFonts w:ascii="Calibri" w:hAnsi="Calibri" w:eastAsia="MS Mincho" w:cs="Calibri"/>
                <w:sz w:val="18"/>
                <w:lang w:val="en-GB"/>
              </w:rPr>
            </w:pPr>
            <w:r>
              <w:rPr>
                <w:rFonts w:ascii="Calibri" w:hAnsi="Calibri" w:eastAsia="MS Mincho" w:cs="Calibri"/>
                <w:sz w:val="18"/>
                <w:lang w:val="en-GB"/>
              </w:rPr>
              <w:t>Mixed numerologies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6" w:hRule="atLeast"/>
          <w:jc w:val="center"/>
        </w:trPr>
        <w:tc>
          <w:tcPr>
            <w:tcW w:w="91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Calibri" w:hAnsi="Calibri" w:eastAsia="MS Mincho" w:cs="Calibri"/>
                <w:sz w:val="18"/>
                <w:lang w:val="en-GB" w:eastAsia="ja-JP"/>
              </w:rPr>
            </w:pPr>
          </w:p>
        </w:tc>
        <w:tc>
          <w:tcPr>
            <w:tcW w:w="140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Calibri" w:hAnsi="Calibri" w:eastAsia="MS Mincho" w:cs="Calibri"/>
                <w:sz w:val="18"/>
                <w:lang w:val="en-GB"/>
              </w:rPr>
            </w:pPr>
          </w:p>
        </w:tc>
        <w:tc>
          <w:tcPr>
            <w:tcW w:w="1718"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Calibri" w:hAnsi="Calibri" w:eastAsia="MS Mincho" w:cs="Calibri"/>
                <w:sz w:val="18"/>
                <w:lang w:val="en-GB"/>
              </w:rPr>
            </w:pPr>
          </w:p>
        </w:tc>
        <w:tc>
          <w:tcPr>
            <w:tcW w:w="1851"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Calibri" w:hAnsi="Calibri" w:eastAsia="MS Mincho" w:cs="Calibri"/>
                <w:sz w:val="18"/>
                <w:lang w:val="en-GB"/>
              </w:rPr>
            </w:pPr>
          </w:p>
        </w:tc>
        <w:tc>
          <w:tcPr>
            <w:tcW w:w="1583" w:type="dxa"/>
            <w:tcBorders>
              <w:top w:val="single" w:color="auto" w:sz="4" w:space="0"/>
              <w:left w:val="single" w:color="auto" w:sz="4" w:space="0"/>
              <w:bottom w:val="single" w:color="auto" w:sz="4" w:space="0"/>
              <w:right w:val="single" w:color="auto" w:sz="4" w:space="0"/>
            </w:tcBorders>
            <w:shd w:val="clear" w:color="auto" w:fill="FBD4B4"/>
          </w:tcPr>
          <w:p>
            <w:pPr>
              <w:keepNext/>
              <w:keepLines/>
              <w:spacing w:after="0"/>
              <w:rPr>
                <w:rFonts w:ascii="Calibri" w:hAnsi="Calibri" w:eastAsia="MS Mincho" w:cs="Calibri"/>
                <w:sz w:val="18"/>
                <w:lang w:val="en-GB"/>
              </w:rPr>
            </w:pPr>
            <w:r>
              <w:rPr>
                <w:rFonts w:ascii="Calibri" w:hAnsi="Calibri" w:eastAsia="MS Mincho" w:cs="Calibri"/>
                <w:color w:val="FF0000"/>
                <w:sz w:val="18"/>
                <w:lang w:val="en-GB"/>
              </w:rPr>
              <w:t>Different numerologies between scheduling cell and scheduled cell</w:t>
            </w:r>
          </w:p>
        </w:tc>
        <w:tc>
          <w:tcPr>
            <w:tcW w:w="2085" w:type="dxa"/>
            <w:tcBorders>
              <w:top w:val="single" w:color="auto" w:sz="4" w:space="0"/>
              <w:left w:val="single" w:color="auto" w:sz="4" w:space="0"/>
              <w:bottom w:val="single" w:color="auto" w:sz="4" w:space="0"/>
              <w:right w:val="single" w:color="auto" w:sz="4" w:space="0"/>
            </w:tcBorders>
            <w:shd w:val="clear" w:color="auto" w:fill="FBD4B4"/>
          </w:tcPr>
          <w:p>
            <w:pPr>
              <w:keepNext/>
              <w:keepLines/>
              <w:spacing w:after="0"/>
              <w:rPr>
                <w:rFonts w:ascii="Calibri" w:hAnsi="Calibri" w:eastAsia="MS Mincho" w:cs="Calibri"/>
                <w:color w:val="FF0000"/>
                <w:sz w:val="18"/>
                <w:lang w:val="en-GB"/>
              </w:rPr>
            </w:pPr>
            <w:r>
              <w:rPr>
                <w:rFonts w:ascii="Calibri" w:hAnsi="Calibri" w:eastAsia="MS Mincho" w:cs="Calibri"/>
                <w:color w:val="FF0000"/>
                <w:sz w:val="18"/>
                <w:lang w:val="en-GB"/>
              </w:rPr>
              <w:t>Same numerology between scheduling cell and scheduled cell but different numerologies between scheduling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5" w:hRule="atLeast"/>
          <w:jc w:val="center"/>
        </w:trPr>
        <w:tc>
          <w:tcPr>
            <w:tcW w:w="917" w:type="dxa"/>
            <w:tcBorders>
              <w:top w:val="single" w:color="auto" w:sz="4" w:space="0"/>
              <w:left w:val="single" w:color="auto" w:sz="4" w:space="0"/>
              <w:bottom w:val="single" w:color="auto" w:sz="4" w:space="0"/>
              <w:right w:val="single" w:color="auto" w:sz="4" w:space="0"/>
            </w:tcBorders>
          </w:tcPr>
          <w:p>
            <w:pPr>
              <w:keepNext/>
              <w:keepLines/>
              <w:spacing w:after="0"/>
              <w:rPr>
                <w:rFonts w:ascii="Calibri" w:hAnsi="Calibri" w:eastAsia="MS Mincho" w:cs="Calibri"/>
                <w:sz w:val="18"/>
                <w:lang w:val="en-GB"/>
              </w:rPr>
            </w:pPr>
            <w:r>
              <w:rPr>
                <w:rFonts w:ascii="Calibri" w:hAnsi="Calibri" w:eastAsia="MS Mincho" w:cs="Calibri"/>
                <w:sz w:val="18"/>
                <w:lang w:val="en-GB"/>
              </w:rPr>
              <w:t>T=&lt;4 or 4&lt;T=&lt;y</w:t>
            </w:r>
          </w:p>
        </w:tc>
        <w:tc>
          <w:tcPr>
            <w:tcW w:w="3124"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Calibri" w:hAnsi="Calibri" w:eastAsia="MS Mincho" w:cs="Calibri"/>
                <w:sz w:val="18"/>
                <w:lang w:val="en-GB" w:eastAsia="ja-JP"/>
              </w:rPr>
            </w:pPr>
            <w:r>
              <w:rPr>
                <w:rFonts w:ascii="Calibri" w:hAnsi="Calibri" w:eastAsia="MS Mincho" w:cs="Calibri"/>
                <w:sz w:val="18"/>
                <w:lang w:val="en-GB"/>
              </w:rPr>
              <w:t xml:space="preserve">Case </w:t>
            </w:r>
            <w:r>
              <w:rPr>
                <w:rFonts w:ascii="Calibri" w:hAnsi="Calibri" w:eastAsia="MS Mincho" w:cs="Calibri"/>
                <w:sz w:val="18"/>
                <w:lang w:val="en-GB" w:eastAsia="ja-JP"/>
              </w:rPr>
              <w:t>1</w:t>
            </w:r>
          </w:p>
          <w:p>
            <w:pPr>
              <w:keepNext/>
              <w:keepLines/>
              <w:spacing w:after="0"/>
              <w:rPr>
                <w:rFonts w:ascii="Calibri" w:hAnsi="Calibri" w:eastAsia="MS Mincho" w:cs="Calibri"/>
                <w:sz w:val="18"/>
                <w:lang w:val="en-GB" w:eastAsia="ja-JP"/>
              </w:rPr>
            </w:pPr>
            <w:r>
              <w:rPr>
                <w:rFonts w:ascii="Calibri" w:hAnsi="Calibri" w:eastAsia="MS Mincho" w:cs="Calibri"/>
                <w:sz w:val="18"/>
                <w:lang w:val="en-GB"/>
              </w:rPr>
              <w:t>The limit per CC per slot equal to the limit for non-CA case</w:t>
            </w:r>
          </w:p>
        </w:tc>
        <w:tc>
          <w:tcPr>
            <w:tcW w:w="1851" w:type="dxa"/>
            <w:tcBorders>
              <w:top w:val="single" w:color="auto" w:sz="4" w:space="0"/>
              <w:left w:val="single" w:color="auto" w:sz="4" w:space="0"/>
              <w:bottom w:val="single" w:color="auto" w:sz="4" w:space="0"/>
              <w:right w:val="single" w:color="auto" w:sz="4" w:space="0"/>
            </w:tcBorders>
          </w:tcPr>
          <w:p>
            <w:pPr>
              <w:keepNext/>
              <w:keepLines/>
              <w:spacing w:after="0"/>
              <w:rPr>
                <w:rFonts w:ascii="Calibri" w:hAnsi="Calibri" w:eastAsia="MS Mincho" w:cs="Calibri"/>
                <w:sz w:val="18"/>
                <w:lang w:val="en-GB" w:eastAsia="ja-JP"/>
              </w:rPr>
            </w:pPr>
            <w:r>
              <w:rPr>
                <w:rFonts w:ascii="Calibri" w:hAnsi="Calibri" w:eastAsia="MS Mincho" w:cs="Calibri"/>
                <w:sz w:val="18"/>
                <w:lang w:val="en-GB"/>
              </w:rPr>
              <w:t>Case 4</w:t>
            </w:r>
          </w:p>
          <w:p>
            <w:pPr>
              <w:keepNext/>
              <w:keepLines/>
              <w:spacing w:after="0"/>
              <w:rPr>
                <w:rFonts w:ascii="Calibri" w:hAnsi="Calibri" w:eastAsia="MS Mincho" w:cs="Calibri"/>
                <w:sz w:val="18"/>
                <w:lang w:val="en-GB"/>
              </w:rPr>
            </w:pPr>
            <w:r>
              <w:rPr>
                <w:rFonts w:ascii="Calibri" w:hAnsi="Calibri" w:eastAsia="MS Mincho" w:cs="Calibri"/>
                <w:sz w:val="18"/>
                <w:lang w:val="en-GB"/>
              </w:rPr>
              <w:t>The limit of the scheduling CC per slot is (number of scheduled CCs)*limit for non-CA case</w:t>
            </w:r>
          </w:p>
        </w:tc>
        <w:tc>
          <w:tcPr>
            <w:tcW w:w="1583" w:type="dxa"/>
            <w:tcBorders>
              <w:top w:val="single" w:color="auto" w:sz="4" w:space="0"/>
              <w:left w:val="single" w:color="auto" w:sz="4" w:space="0"/>
              <w:bottom w:val="single" w:color="auto" w:sz="4" w:space="0"/>
              <w:right w:val="single" w:color="auto" w:sz="4" w:space="0"/>
            </w:tcBorders>
          </w:tcPr>
          <w:p>
            <w:pPr>
              <w:keepNext/>
              <w:keepLines/>
              <w:spacing w:after="0"/>
              <w:rPr>
                <w:rFonts w:ascii="Calibri" w:hAnsi="Calibri" w:eastAsia="MS Mincho" w:cs="Calibri"/>
                <w:color w:val="FF0000"/>
                <w:sz w:val="18"/>
                <w:lang w:val="en-GB" w:eastAsia="ja-JP"/>
              </w:rPr>
            </w:pPr>
            <w:r>
              <w:rPr>
                <w:rFonts w:ascii="Calibri" w:hAnsi="Calibri" w:eastAsia="MS Mincho" w:cs="Calibri"/>
                <w:sz w:val="18"/>
                <w:lang w:val="en-GB"/>
              </w:rPr>
              <w:t xml:space="preserve">Case </w:t>
            </w:r>
            <w:r>
              <w:rPr>
                <w:rFonts w:ascii="Calibri" w:hAnsi="Calibri" w:eastAsia="MS Mincho" w:cs="Calibri"/>
                <w:sz w:val="18"/>
                <w:lang w:val="en-GB" w:eastAsia="ja-JP"/>
              </w:rPr>
              <w:t>6</w:t>
            </w:r>
            <w:r>
              <w:rPr>
                <w:rFonts w:ascii="Calibri" w:hAnsi="Calibri" w:eastAsia="MS Mincho" w:cs="Calibri"/>
                <w:color w:val="000000" w:themeColor="text1"/>
                <w:sz w:val="18"/>
                <w:lang w:val="en-GB" w:eastAsia="ja-JP"/>
                <w14:textFill>
                  <w14:solidFill>
                    <w14:schemeClr w14:val="tx1"/>
                  </w14:solidFill>
                </w14:textFill>
              </w:rPr>
              <w:t>-1</w:t>
            </w:r>
          </w:p>
          <w:p>
            <w:pPr>
              <w:keepNext/>
              <w:keepLines/>
              <w:spacing w:after="0"/>
              <w:rPr>
                <w:rFonts w:ascii="Calibri" w:hAnsi="Calibri" w:eastAsia="MS Mincho" w:cs="Calibri"/>
                <w:color w:val="FF0000"/>
                <w:sz w:val="18"/>
                <w:lang w:val="en-GB" w:eastAsia="ja-JP"/>
              </w:rPr>
            </w:pPr>
            <w:r>
              <w:rPr>
                <w:rFonts w:ascii="Calibri" w:hAnsi="Calibri" w:eastAsia="MS Mincho" w:cs="Calibri"/>
                <w:color w:val="FF0000"/>
                <w:sz w:val="18"/>
                <w:lang w:val="en-GB" w:eastAsia="ja-JP"/>
              </w:rPr>
              <w:t>(Postponed to Rel.16)</w:t>
            </w:r>
          </w:p>
          <w:p>
            <w:pPr>
              <w:keepNext/>
              <w:keepLines/>
              <w:spacing w:after="0"/>
              <w:rPr>
                <w:rFonts w:ascii="Calibri" w:hAnsi="Calibri" w:eastAsia="MS Mincho" w:cs="Calibri"/>
                <w:sz w:val="18"/>
                <w:lang w:val="en-GB" w:eastAsia="ja-JP"/>
              </w:rPr>
            </w:pPr>
          </w:p>
        </w:tc>
        <w:tc>
          <w:tcPr>
            <w:tcW w:w="2085" w:type="dxa"/>
            <w:tcBorders>
              <w:top w:val="single" w:color="auto" w:sz="4" w:space="0"/>
              <w:left w:val="single" w:color="auto" w:sz="4" w:space="0"/>
              <w:bottom w:val="single" w:color="auto" w:sz="4" w:space="0"/>
              <w:right w:val="single" w:color="auto" w:sz="4" w:space="0"/>
            </w:tcBorders>
          </w:tcPr>
          <w:p>
            <w:pPr>
              <w:keepNext/>
              <w:keepLines/>
              <w:spacing w:after="0"/>
              <w:rPr>
                <w:rFonts w:ascii="Calibri" w:hAnsi="Calibri" w:eastAsia="MS Mincho" w:cs="Calibri"/>
                <w:color w:val="000000" w:themeColor="text1"/>
                <w:sz w:val="18"/>
                <w:lang w:val="en-GB" w:eastAsia="ja-JP"/>
                <w14:textFill>
                  <w14:solidFill>
                    <w14:schemeClr w14:val="tx1"/>
                  </w14:solidFill>
                </w14:textFill>
              </w:rPr>
            </w:pPr>
            <w:r>
              <w:rPr>
                <w:rFonts w:ascii="Calibri" w:hAnsi="Calibri" w:eastAsia="MS Mincho" w:cs="Calibri"/>
                <w:color w:val="000000" w:themeColor="text1"/>
                <w:sz w:val="18"/>
                <w:lang w:val="en-GB"/>
                <w14:textFill>
                  <w14:solidFill>
                    <w14:schemeClr w14:val="tx1"/>
                  </w14:solidFill>
                </w14:textFill>
              </w:rPr>
              <w:t xml:space="preserve">Case </w:t>
            </w:r>
            <w:r>
              <w:rPr>
                <w:rFonts w:ascii="Calibri" w:hAnsi="Calibri" w:eastAsia="MS Mincho" w:cs="Calibri"/>
                <w:color w:val="000000" w:themeColor="text1"/>
                <w:sz w:val="18"/>
                <w:lang w:val="en-GB" w:eastAsia="ja-JP"/>
                <w14:textFill>
                  <w14:solidFill>
                    <w14:schemeClr w14:val="tx1"/>
                  </w14:solidFill>
                </w14:textFill>
              </w:rPr>
              <w:t>6-2</w:t>
            </w:r>
          </w:p>
          <w:p>
            <w:pPr>
              <w:keepNext/>
              <w:keepLines/>
              <w:spacing w:after="0"/>
              <w:rPr>
                <w:rFonts w:ascii="Calibri" w:hAnsi="Calibri" w:eastAsia="MS Mincho" w:cs="Calibri"/>
                <w:sz w:val="18"/>
                <w:lang w:val="en-GB"/>
              </w:rPr>
            </w:pPr>
            <w:r>
              <w:rPr>
                <w:rFonts w:ascii="Calibri" w:hAnsi="Calibri" w:eastAsia="MS Mincho" w:cs="Calibri"/>
                <w:sz w:val="18"/>
                <w:lang w:val="en-GB"/>
              </w:rPr>
              <w:t>The limit of the scheduling CC per slot is (number of scheduled CCs)*limit for non-CA case</w:t>
            </w:r>
          </w:p>
          <w:p>
            <w:pPr>
              <w:keepNext/>
              <w:keepLines/>
              <w:spacing w:after="0"/>
              <w:rPr>
                <w:rFonts w:ascii="Calibri" w:hAnsi="Calibri" w:cs="Calibri"/>
                <w:sz w:val="18"/>
                <w:lang w:eastAsia="zh-CN"/>
              </w:rPr>
            </w:pPr>
            <w:r>
              <w:rPr>
                <w:rFonts w:hint="eastAsia" w:ascii="Calibri" w:hAnsi="Calibri" w:cs="Calibri"/>
                <w:color w:val="FF0000"/>
                <w:sz w:val="18"/>
                <w:lang w:eastAsia="zh-CN"/>
              </w:rPr>
              <w:t>(same as Case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0" w:hRule="atLeast"/>
          <w:jc w:val="center"/>
        </w:trPr>
        <w:tc>
          <w:tcPr>
            <w:tcW w:w="917" w:type="dxa"/>
            <w:tcBorders>
              <w:top w:val="single" w:color="auto" w:sz="4" w:space="0"/>
              <w:left w:val="single" w:color="auto" w:sz="4" w:space="0"/>
              <w:bottom w:val="single" w:color="auto" w:sz="4" w:space="0"/>
              <w:right w:val="single" w:color="auto" w:sz="4" w:space="0"/>
            </w:tcBorders>
          </w:tcPr>
          <w:p>
            <w:pPr>
              <w:keepNext/>
              <w:keepLines/>
              <w:spacing w:after="0"/>
              <w:rPr>
                <w:rFonts w:ascii="Calibri" w:hAnsi="Calibri" w:eastAsia="MS Mincho" w:cs="Calibri"/>
                <w:sz w:val="18"/>
                <w:lang w:val="en-GB"/>
              </w:rPr>
            </w:pPr>
            <w:r>
              <w:rPr>
                <w:rFonts w:ascii="Calibri" w:hAnsi="Calibri" w:eastAsia="MS Mincho" w:cs="Calibri"/>
                <w:sz w:val="18"/>
                <w:lang w:val="en-GB"/>
              </w:rPr>
              <w:t>T&gt;4 and T&gt;y</w:t>
            </w:r>
          </w:p>
        </w:tc>
        <w:tc>
          <w:tcPr>
            <w:tcW w:w="1406" w:type="dxa"/>
            <w:tcBorders>
              <w:top w:val="single" w:color="auto" w:sz="4" w:space="0"/>
              <w:left w:val="single" w:color="auto" w:sz="4" w:space="0"/>
              <w:bottom w:val="single" w:color="auto" w:sz="4" w:space="0"/>
              <w:right w:val="single" w:color="auto" w:sz="4" w:space="0"/>
            </w:tcBorders>
          </w:tcPr>
          <w:p>
            <w:pPr>
              <w:keepNext/>
              <w:keepLines/>
              <w:spacing w:after="0"/>
              <w:rPr>
                <w:rFonts w:ascii="Calibri" w:hAnsi="Calibri" w:eastAsia="MS Mincho" w:cs="Calibri"/>
                <w:sz w:val="18"/>
                <w:lang w:val="en-GB" w:eastAsia="ja-JP"/>
              </w:rPr>
            </w:pPr>
            <w:r>
              <w:rPr>
                <w:rFonts w:ascii="Calibri" w:hAnsi="Calibri" w:eastAsia="MS Mincho" w:cs="Calibri"/>
                <w:sz w:val="18"/>
                <w:lang w:val="en-GB"/>
              </w:rPr>
              <w:t>Case 2</w:t>
            </w:r>
          </w:p>
          <w:p>
            <w:pPr>
              <w:keepNext/>
              <w:keepLines/>
              <w:spacing w:after="0"/>
              <w:rPr>
                <w:rFonts w:ascii="Calibri" w:hAnsi="Calibri" w:eastAsia="MS Mincho" w:cs="Calibri"/>
                <w:sz w:val="18"/>
                <w:lang w:val="en-GB"/>
              </w:rPr>
            </w:pPr>
            <w:r>
              <w:rPr>
                <w:rFonts w:ascii="Calibri" w:hAnsi="Calibri" w:eastAsia="MS Mincho" w:cs="Calibri"/>
                <w:sz w:val="18"/>
                <w:lang w:val="en-GB"/>
              </w:rPr>
              <w:t>The total limit across CCs is based on BD capability and can be split across CCs</w:t>
            </w:r>
          </w:p>
        </w:tc>
        <w:tc>
          <w:tcPr>
            <w:tcW w:w="1718" w:type="dxa"/>
            <w:tcBorders>
              <w:top w:val="single" w:color="auto" w:sz="4" w:space="0"/>
              <w:left w:val="single" w:color="auto" w:sz="4" w:space="0"/>
              <w:bottom w:val="single" w:color="auto" w:sz="4" w:space="0"/>
              <w:right w:val="single" w:color="auto" w:sz="4" w:space="0"/>
            </w:tcBorders>
          </w:tcPr>
          <w:p>
            <w:pPr>
              <w:keepNext/>
              <w:keepLines/>
              <w:spacing w:after="0"/>
              <w:rPr>
                <w:rFonts w:ascii="Calibri" w:hAnsi="Calibri" w:eastAsia="MS Mincho" w:cs="Calibri"/>
                <w:sz w:val="18"/>
                <w:lang w:val="en-GB" w:eastAsia="ja-JP"/>
              </w:rPr>
            </w:pPr>
            <w:r>
              <w:rPr>
                <w:rFonts w:ascii="Calibri" w:hAnsi="Calibri" w:eastAsia="MS Mincho" w:cs="Calibri"/>
                <w:sz w:val="18"/>
                <w:lang w:val="en-GB"/>
              </w:rPr>
              <w:t>Case 3</w:t>
            </w:r>
          </w:p>
          <w:p>
            <w:pPr>
              <w:keepNext/>
              <w:keepLines/>
              <w:spacing w:after="0"/>
              <w:rPr>
                <w:rFonts w:ascii="Calibri" w:hAnsi="Calibri" w:eastAsia="MS Mincho" w:cs="Calibri"/>
                <w:sz w:val="18"/>
                <w:lang w:val="en-GB"/>
              </w:rPr>
            </w:pPr>
            <w:r>
              <w:rPr>
                <w:rFonts w:ascii="Calibri" w:hAnsi="Calibri" w:eastAsia="MS Mincho" w:cs="Calibri"/>
                <w:sz w:val="18"/>
                <w:lang w:val="en-GB"/>
              </w:rPr>
              <w:t>The total limit across CCs per μ is based on BD capability.</w:t>
            </w:r>
          </w:p>
          <w:p>
            <w:pPr>
              <w:keepNext/>
              <w:keepLines/>
              <w:spacing w:after="0"/>
              <w:rPr>
                <w:rFonts w:ascii="Calibri" w:hAnsi="Calibri" w:eastAsia="MS Mincho" w:cs="Calibri"/>
                <w:sz w:val="18"/>
                <w:lang w:val="en-GB"/>
              </w:rPr>
            </w:pPr>
            <w:r>
              <w:rPr>
                <w:rFonts w:ascii="Calibri" w:hAnsi="Calibri" w:eastAsia="MS Mincho" w:cs="Calibri"/>
                <w:sz w:val="18"/>
                <w:lang w:val="en-GB"/>
              </w:rPr>
              <w:t>The limit per</w:t>
            </w:r>
            <w:r>
              <w:rPr>
                <w:rFonts w:ascii="Calibri" w:hAnsi="Calibri" w:eastAsia="MS Mincho" w:cs="Calibri"/>
                <w:sz w:val="18"/>
                <w:lang w:val="en-GB" w:eastAsia="ja-JP"/>
              </w:rPr>
              <w:t xml:space="preserve"> </w:t>
            </w:r>
            <w:r>
              <w:rPr>
                <w:rFonts w:ascii="Calibri" w:hAnsi="Calibri" w:eastAsia="MS Mincho" w:cs="Calibri"/>
                <w:sz w:val="18"/>
                <w:lang w:val="en-GB"/>
              </w:rPr>
              <w:t>μ</w:t>
            </w:r>
            <w:r>
              <w:rPr>
                <w:rFonts w:ascii="Calibri" w:hAnsi="Calibri" w:eastAsia="MS Mincho" w:cs="Calibri"/>
                <w:sz w:val="18"/>
                <w:lang w:val="en-GB" w:eastAsia="ja-JP"/>
              </w:rPr>
              <w:t xml:space="preserve"> </w:t>
            </w:r>
            <w:r>
              <w:rPr>
                <w:rFonts w:ascii="Calibri" w:hAnsi="Calibri" w:eastAsia="MS Mincho" w:cs="Calibri"/>
                <w:sz w:val="18"/>
                <w:lang w:val="en-GB"/>
              </w:rPr>
              <w:t>is y*M(μ) and proportion of the number of CCs with μ to the total number of CCs.</w:t>
            </w:r>
          </w:p>
        </w:tc>
        <w:tc>
          <w:tcPr>
            <w:tcW w:w="1851" w:type="dxa"/>
            <w:tcBorders>
              <w:top w:val="single" w:color="auto" w:sz="4" w:space="0"/>
              <w:left w:val="single" w:color="auto" w:sz="4" w:space="0"/>
              <w:bottom w:val="single" w:color="auto" w:sz="4" w:space="0"/>
              <w:right w:val="single" w:color="auto" w:sz="4" w:space="0"/>
            </w:tcBorders>
          </w:tcPr>
          <w:p>
            <w:pPr>
              <w:keepNext/>
              <w:keepLines/>
              <w:spacing w:after="0"/>
              <w:rPr>
                <w:rFonts w:ascii="Calibri" w:hAnsi="Calibri" w:eastAsia="MS Mincho" w:cs="Calibri"/>
                <w:sz w:val="18"/>
                <w:lang w:val="en-GB" w:eastAsia="ja-JP"/>
              </w:rPr>
            </w:pPr>
            <w:r>
              <w:rPr>
                <w:rFonts w:ascii="Calibri" w:hAnsi="Calibri" w:eastAsia="MS Mincho" w:cs="Calibri"/>
                <w:sz w:val="18"/>
                <w:lang w:val="en-GB"/>
              </w:rPr>
              <w:t xml:space="preserve">Case </w:t>
            </w:r>
            <w:r>
              <w:rPr>
                <w:rFonts w:ascii="Calibri" w:hAnsi="Calibri" w:eastAsia="MS Mincho" w:cs="Calibri"/>
                <w:sz w:val="18"/>
                <w:lang w:val="en-GB" w:eastAsia="ja-JP"/>
              </w:rPr>
              <w:t>5</w:t>
            </w:r>
          </w:p>
          <w:p>
            <w:pPr>
              <w:keepNext/>
              <w:keepLines/>
              <w:spacing w:after="0"/>
              <w:rPr>
                <w:rFonts w:ascii="Calibri" w:hAnsi="Calibri" w:eastAsia="MS Mincho" w:cs="Calibri"/>
                <w:color w:val="000000" w:themeColor="text1"/>
                <w:sz w:val="18"/>
                <w:lang w:val="en-GB"/>
                <w14:textFill>
                  <w14:solidFill>
                    <w14:schemeClr w14:val="tx1"/>
                  </w14:solidFill>
                </w14:textFill>
              </w:rPr>
            </w:pPr>
            <w:r>
              <w:rPr>
                <w:rFonts w:ascii="Calibri" w:hAnsi="Calibri" w:eastAsia="MS Mincho" w:cs="Calibri"/>
                <w:color w:val="000000" w:themeColor="text1"/>
                <w:sz w:val="18"/>
                <w:lang w:val="en-GB"/>
                <w14:textFill>
                  <w14:solidFill>
                    <w14:schemeClr w14:val="tx1"/>
                  </w14:solidFill>
                </w14:textFill>
              </w:rPr>
              <w:t>The total limit across CCs is based on BD capability and can be split across CCs</w:t>
            </w:r>
          </w:p>
          <w:p>
            <w:pPr>
              <w:keepNext/>
              <w:keepLines/>
              <w:spacing w:after="0"/>
              <w:rPr>
                <w:rFonts w:ascii="Calibri" w:hAnsi="Calibri" w:eastAsia="MS Mincho" w:cs="Calibri"/>
                <w:sz w:val="18"/>
                <w:lang w:val="en-GB" w:eastAsia="ja-JP"/>
              </w:rPr>
            </w:pPr>
            <w:r>
              <w:rPr>
                <w:rFonts w:ascii="Calibri" w:hAnsi="Calibri" w:eastAsia="MS Mincho" w:cs="Calibri"/>
                <w:color w:val="FF0000"/>
                <w:sz w:val="18"/>
                <w:lang w:val="en-GB"/>
              </w:rPr>
              <w:t>(same as case 2)</w:t>
            </w:r>
          </w:p>
        </w:tc>
        <w:tc>
          <w:tcPr>
            <w:tcW w:w="1583" w:type="dxa"/>
            <w:tcBorders>
              <w:top w:val="single" w:color="auto" w:sz="4" w:space="0"/>
              <w:left w:val="single" w:color="auto" w:sz="4" w:space="0"/>
              <w:bottom w:val="single" w:color="auto" w:sz="4" w:space="0"/>
              <w:right w:val="single" w:color="auto" w:sz="4" w:space="0"/>
            </w:tcBorders>
          </w:tcPr>
          <w:p>
            <w:pPr>
              <w:keepNext/>
              <w:keepLines/>
              <w:spacing w:after="0"/>
              <w:rPr>
                <w:rFonts w:ascii="Calibri" w:hAnsi="Calibri" w:eastAsia="MS Mincho" w:cs="Calibri"/>
                <w:color w:val="FF0000"/>
                <w:sz w:val="18"/>
                <w:lang w:val="en-GB"/>
              </w:rPr>
            </w:pPr>
            <w:r>
              <w:rPr>
                <w:rFonts w:ascii="Calibri" w:hAnsi="Calibri" w:eastAsia="MS Mincho" w:cs="Calibri"/>
                <w:sz w:val="18"/>
                <w:lang w:val="en-GB"/>
              </w:rPr>
              <w:t>Case 7</w:t>
            </w:r>
            <w:r>
              <w:rPr>
                <w:rFonts w:ascii="Calibri" w:hAnsi="Calibri" w:eastAsia="MS Mincho" w:cs="Calibri"/>
                <w:color w:val="000000" w:themeColor="text1"/>
                <w:sz w:val="18"/>
                <w:lang w:val="en-GB"/>
                <w14:textFill>
                  <w14:solidFill>
                    <w14:schemeClr w14:val="tx1"/>
                  </w14:solidFill>
                </w14:textFill>
              </w:rPr>
              <w:t>-1</w:t>
            </w:r>
          </w:p>
          <w:p>
            <w:pPr>
              <w:keepNext/>
              <w:keepLines/>
              <w:spacing w:after="0"/>
              <w:rPr>
                <w:rFonts w:ascii="Calibri" w:hAnsi="Calibri" w:eastAsia="MS Mincho" w:cs="Calibri"/>
                <w:color w:val="FF0000"/>
                <w:sz w:val="18"/>
                <w:lang w:val="en-GB" w:eastAsia="ja-JP"/>
              </w:rPr>
            </w:pPr>
            <w:r>
              <w:rPr>
                <w:rFonts w:ascii="Calibri" w:hAnsi="Calibri" w:eastAsia="MS Mincho" w:cs="Calibri"/>
                <w:color w:val="FF0000"/>
                <w:sz w:val="18"/>
                <w:lang w:val="en-GB" w:eastAsia="ja-JP"/>
              </w:rPr>
              <w:t>(Postponed to Rel.16)</w:t>
            </w:r>
          </w:p>
          <w:p>
            <w:pPr>
              <w:keepNext/>
              <w:keepLines/>
              <w:spacing w:after="0"/>
              <w:rPr>
                <w:rFonts w:ascii="Calibri" w:hAnsi="Calibri" w:eastAsia="MS Mincho" w:cs="Calibri"/>
                <w:sz w:val="18"/>
                <w:lang w:val="en-GB"/>
              </w:rPr>
            </w:pPr>
          </w:p>
        </w:tc>
        <w:tc>
          <w:tcPr>
            <w:tcW w:w="2085" w:type="dxa"/>
            <w:tcBorders>
              <w:top w:val="single" w:color="auto" w:sz="4" w:space="0"/>
              <w:left w:val="single" w:color="auto" w:sz="4" w:space="0"/>
              <w:bottom w:val="single" w:color="auto" w:sz="4" w:space="0"/>
              <w:right w:val="single" w:color="auto" w:sz="4" w:space="0"/>
            </w:tcBorders>
          </w:tcPr>
          <w:p>
            <w:pPr>
              <w:keepNext/>
              <w:keepLines/>
              <w:spacing w:after="0"/>
              <w:rPr>
                <w:rFonts w:ascii="Calibri" w:hAnsi="Calibri" w:eastAsia="MS Mincho" w:cs="Calibri"/>
                <w:color w:val="000000" w:themeColor="text1"/>
                <w:sz w:val="18"/>
                <w:lang w:val="en-GB"/>
                <w14:textFill>
                  <w14:solidFill>
                    <w14:schemeClr w14:val="tx1"/>
                  </w14:solidFill>
                </w14:textFill>
              </w:rPr>
            </w:pPr>
            <w:r>
              <w:rPr>
                <w:rFonts w:ascii="Calibri" w:hAnsi="Calibri" w:eastAsia="MS Mincho" w:cs="Calibri"/>
                <w:color w:val="000000" w:themeColor="text1"/>
                <w:sz w:val="18"/>
                <w:lang w:val="en-GB"/>
                <w14:textFill>
                  <w14:solidFill>
                    <w14:schemeClr w14:val="tx1"/>
                  </w14:solidFill>
                </w14:textFill>
              </w:rPr>
              <w:t>Case 7-2</w:t>
            </w:r>
          </w:p>
          <w:p>
            <w:pPr>
              <w:keepNext/>
              <w:keepLines/>
              <w:spacing w:after="0"/>
              <w:rPr>
                <w:rFonts w:ascii="Calibri" w:hAnsi="Calibri" w:eastAsia="MS Mincho" w:cs="Calibri"/>
                <w:sz w:val="18"/>
                <w:lang w:val="en-GB"/>
              </w:rPr>
            </w:pPr>
            <w:r>
              <w:rPr>
                <w:rFonts w:ascii="Calibri" w:hAnsi="Calibri" w:eastAsia="MS Mincho" w:cs="Calibri"/>
                <w:sz w:val="18"/>
                <w:lang w:val="en-GB"/>
              </w:rPr>
              <w:t>The total limit across CCs per μ is based on BD capability.</w:t>
            </w:r>
          </w:p>
          <w:p>
            <w:pPr>
              <w:keepNext/>
              <w:keepLines/>
              <w:spacing w:after="0"/>
              <w:rPr>
                <w:rFonts w:ascii="Calibri" w:hAnsi="Calibri" w:eastAsia="MS Mincho" w:cs="Calibri"/>
                <w:sz w:val="18"/>
                <w:lang w:val="en-GB"/>
              </w:rPr>
            </w:pPr>
            <w:r>
              <w:rPr>
                <w:rFonts w:ascii="Calibri" w:hAnsi="Calibri" w:eastAsia="MS Mincho" w:cs="Calibri"/>
                <w:sz w:val="18"/>
                <w:lang w:val="en-GB"/>
              </w:rPr>
              <w:t>The limit per</w:t>
            </w:r>
            <w:r>
              <w:rPr>
                <w:rFonts w:ascii="Calibri" w:hAnsi="Calibri" w:eastAsia="MS Mincho" w:cs="Calibri"/>
                <w:sz w:val="18"/>
                <w:lang w:val="en-GB" w:eastAsia="ja-JP"/>
              </w:rPr>
              <w:t xml:space="preserve"> </w:t>
            </w:r>
            <w:r>
              <w:rPr>
                <w:rFonts w:ascii="Calibri" w:hAnsi="Calibri" w:eastAsia="MS Mincho" w:cs="Calibri"/>
                <w:sz w:val="18"/>
                <w:lang w:val="en-GB"/>
              </w:rPr>
              <w:t>μ</w:t>
            </w:r>
            <w:r>
              <w:rPr>
                <w:rFonts w:ascii="Calibri" w:hAnsi="Calibri" w:eastAsia="MS Mincho" w:cs="Calibri"/>
                <w:sz w:val="18"/>
                <w:lang w:val="en-GB" w:eastAsia="ja-JP"/>
              </w:rPr>
              <w:t xml:space="preserve"> </w:t>
            </w:r>
            <w:r>
              <w:rPr>
                <w:rFonts w:ascii="Calibri" w:hAnsi="Calibri" w:eastAsia="MS Mincho" w:cs="Calibri"/>
                <w:sz w:val="18"/>
                <w:lang w:val="en-GB"/>
              </w:rPr>
              <w:t>is y*M(μ) and proportion of the number of CCs with μ to the total number of CCs.</w:t>
            </w:r>
          </w:p>
          <w:p>
            <w:pPr>
              <w:keepNext/>
              <w:keepLines/>
              <w:spacing w:after="0"/>
              <w:rPr>
                <w:rFonts w:ascii="Calibri" w:hAnsi="Calibri" w:cs="Calibri"/>
                <w:sz w:val="18"/>
                <w:lang w:eastAsia="zh-CN"/>
              </w:rPr>
            </w:pPr>
            <w:r>
              <w:rPr>
                <w:rFonts w:hint="eastAsia" w:ascii="Calibri" w:hAnsi="Calibri" w:cs="Calibri"/>
                <w:color w:val="FF0000"/>
                <w:sz w:val="18"/>
                <w:lang w:eastAsia="zh-CN"/>
              </w:rPr>
              <w:t>(same as Case 3)</w:t>
            </w:r>
          </w:p>
        </w:tc>
      </w:tr>
    </w:tbl>
    <w:p>
      <w:pPr>
        <w:rPr>
          <w:lang w:eastAsia="zh-CN"/>
        </w:rPr>
      </w:pPr>
    </w:p>
    <w:p>
      <w:pPr>
        <w:rPr>
          <w:lang w:eastAsia="zh-CN"/>
        </w:rPr>
      </w:pPr>
      <w:r>
        <w:rPr>
          <w:rFonts w:hint="eastAsia"/>
          <w:lang w:eastAsia="zh-CN"/>
        </w:rPr>
        <w:t>Due to limited time and high workload in RAN1, cross-carrier scheduling with different numerologies between scheduling cell and scheduled cell is postponed to Rel-16. In this case, the already agreed agreements in the above table are still in force for cross-carrier scheduling</w:t>
      </w:r>
      <w:r>
        <w:rPr>
          <w:lang w:eastAsia="zh-CN"/>
        </w:rPr>
        <w:t>, while</w:t>
      </w:r>
      <w:r>
        <w:rPr>
          <w:rFonts w:hint="eastAsia"/>
          <w:lang w:eastAsia="zh-CN"/>
        </w:rPr>
        <w:t xml:space="preserve"> Case 6-1 &amp; Case 7-1 are left to discuss in this Rel-16 WI.</w:t>
      </w:r>
    </w:p>
    <w:p>
      <w:pPr>
        <w:rPr>
          <w:lang w:eastAsia="zh-CN"/>
        </w:rPr>
      </w:pPr>
      <w:r>
        <w:rPr>
          <w:rFonts w:hint="eastAsia"/>
          <w:lang w:eastAsia="zh-CN"/>
        </w:rPr>
        <w:t>In RAN1#94, companies proposed divergent solutions for Case 6-1 &amp; Case 7-1 and finally it was hard to converge on a solution acceptable for everyone.</w:t>
      </w:r>
    </w:p>
    <w:p>
      <w:pPr>
        <w:pStyle w:val="3"/>
        <w:rPr>
          <w:szCs w:val="22"/>
          <w:lang w:val="en-US" w:eastAsia="zh-CN"/>
        </w:rPr>
      </w:pPr>
      <w:r>
        <w:rPr>
          <w:rFonts w:hint="eastAsia"/>
          <w:szCs w:val="22"/>
          <w:lang w:val="en-US" w:eastAsia="zh-CN"/>
        </w:rPr>
        <w:t>Solutions</w:t>
      </w:r>
    </w:p>
    <w:p>
      <w:pPr>
        <w:rPr>
          <w:lang w:eastAsia="zh-CN"/>
        </w:rPr>
      </w:pPr>
      <w:r>
        <w:rPr>
          <w:lang w:eastAsia="zh-CN"/>
        </w:rPr>
        <w:t xml:space="preserve">Overall, companies proposals can be divided into three alternatives </w:t>
      </w:r>
      <w:r>
        <w:rPr>
          <w:lang w:eastAsia="zh-CN"/>
        </w:rPr>
        <w:fldChar w:fldCharType="begin"/>
      </w:r>
      <w:r>
        <w:rPr>
          <w:lang w:eastAsia="zh-CN"/>
        </w:rPr>
        <w:instrText xml:space="preserve"> REF _Ref534961152 \n \h </w:instrText>
      </w:r>
      <w:r>
        <w:rPr>
          <w:lang w:eastAsia="zh-CN"/>
        </w:rPr>
        <w:fldChar w:fldCharType="separate"/>
      </w:r>
      <w:r>
        <w:rPr>
          <w:lang w:eastAsia="zh-CN"/>
        </w:rPr>
        <w:t>[5]</w:t>
      </w:r>
      <w:r>
        <w:rPr>
          <w:lang w:eastAsia="zh-CN"/>
        </w:rPr>
        <w:fldChar w:fldCharType="end"/>
      </w:r>
      <w:r>
        <w:rPr>
          <w:lang w:eastAsia="zh-CN"/>
        </w:rPr>
        <w:t xml:space="preserve">, i.e., </w:t>
      </w:r>
    </w:p>
    <w:p>
      <w:pPr>
        <w:pStyle w:val="111"/>
        <w:numPr>
          <w:ilvl w:val="0"/>
          <w:numId w:val="9"/>
        </w:numPr>
        <w:rPr>
          <w:lang w:eastAsia="zh-CN"/>
        </w:rPr>
      </w:pPr>
      <w:r>
        <w:rPr>
          <w:lang w:eastAsia="zh-CN"/>
        </w:rPr>
        <w:t>Alt.1: The limit of BDs/CCEs of the scheduling CC is determined based on the numerology of the scheduled CC.</w:t>
      </w:r>
    </w:p>
    <w:p>
      <w:pPr>
        <w:pStyle w:val="111"/>
        <w:numPr>
          <w:ilvl w:val="0"/>
          <w:numId w:val="9"/>
        </w:numPr>
        <w:rPr>
          <w:lang w:eastAsia="zh-CN"/>
        </w:rPr>
      </w:pPr>
      <w:r>
        <w:rPr>
          <w:lang w:eastAsia="zh-CN"/>
        </w:rPr>
        <w:t>Alt.2: The limit of BDs/CCEs of the scheduling CC is determined based on the numerology of the scheduling CC.</w:t>
      </w:r>
    </w:p>
    <w:p>
      <w:pPr>
        <w:pStyle w:val="111"/>
        <w:numPr>
          <w:ilvl w:val="0"/>
          <w:numId w:val="9"/>
        </w:numPr>
        <w:rPr>
          <w:lang w:eastAsia="zh-CN"/>
        </w:rPr>
      </w:pPr>
      <w:r>
        <w:rPr>
          <w:lang w:eastAsia="zh-CN"/>
        </w:rPr>
        <w:t>Alt.3: The limit of BDs/CCEs of the scheduling CC is determined based on a specific reference numerology regardless of the exactly used numerology for scheduling CC or scheduled CC.</w:t>
      </w:r>
    </w:p>
    <w:p>
      <w:pPr>
        <w:pStyle w:val="111"/>
        <w:numPr>
          <w:ilvl w:val="0"/>
          <w:numId w:val="9"/>
        </w:numPr>
        <w:rPr>
          <w:lang w:eastAsia="zh-CN"/>
        </w:rPr>
      </w:pPr>
      <w:r>
        <w:rPr>
          <w:lang w:eastAsia="zh-CN"/>
        </w:rPr>
        <w:t>Alt.4: The limit of BDs/CCEs of the scheduling CC is determined based on the combinations of numerologies for {scheduling CC, scheduled CC}, e.g., based on the SCS of the scheduling/scheduled CC with a scaling factor.</w:t>
      </w:r>
    </w:p>
    <w:p>
      <w:pPr>
        <w:rPr>
          <w:lang w:val="en-GB" w:eastAsia="zh-CN"/>
        </w:rPr>
      </w:pPr>
      <w:r>
        <w:rPr>
          <w:rFonts w:hint="eastAsia"/>
          <w:lang w:val="en-GB" w:eastAsia="zh-CN"/>
        </w:rPr>
        <w:t>A</w:t>
      </w:r>
      <w:r>
        <w:rPr>
          <w:lang w:val="en-GB" w:eastAsia="zh-CN"/>
        </w:rPr>
        <w:t xml:space="preserve">lt.1 only considers the SCS of scheduled CCs, it’s not clear how to handle the case if there are many scheduled CCs with different SCSs. </w:t>
      </w:r>
      <w:r>
        <w:rPr>
          <w:rFonts w:hint="eastAsia"/>
          <w:lang w:val="en-GB" w:eastAsia="zh-CN"/>
        </w:rPr>
        <w:t>A</w:t>
      </w:r>
      <w:r>
        <w:rPr>
          <w:lang w:val="en-GB" w:eastAsia="zh-CN"/>
        </w:rPr>
        <w:t>lt.2 is a simple way to determine the BD/CCEs, however it doesn’t take the numerologies of scheduled CC into account, which may decrease the scheduling flexibility for the case where a low SCS CC schedules a high SCS CC. Alt.3 depends much on the selection of reference numerology, which may not cater for all the cases.</w:t>
      </w:r>
    </w:p>
    <w:p>
      <w:pPr>
        <w:rPr>
          <w:lang w:val="en-GB" w:eastAsia="zh-CN"/>
        </w:rPr>
      </w:pPr>
      <w:r>
        <w:rPr>
          <w:rFonts w:hint="eastAsia"/>
          <w:lang w:val="en-GB" w:eastAsia="zh-CN"/>
        </w:rPr>
        <w:t>A</w:t>
      </w:r>
      <w:r>
        <w:rPr>
          <w:lang w:val="en-GB" w:eastAsia="zh-CN"/>
        </w:rPr>
        <w:t xml:space="preserve">mong all the alternatives, Alt.4 can better balance the trade-off of scheduling flexibility and implementation complexity. Plus that the offline lead’s suggestion in </w:t>
      </w:r>
      <w:r>
        <w:rPr>
          <w:lang w:val="en-GB" w:eastAsia="zh-CN"/>
        </w:rPr>
        <w:fldChar w:fldCharType="begin"/>
      </w:r>
      <w:r>
        <w:rPr>
          <w:lang w:val="en-GB" w:eastAsia="zh-CN"/>
        </w:rPr>
        <w:instrText xml:space="preserve"> REF _Ref534961152 \n \h </w:instrText>
      </w:r>
      <w:r>
        <w:rPr>
          <w:lang w:val="en-GB" w:eastAsia="zh-CN"/>
        </w:rPr>
        <w:fldChar w:fldCharType="separate"/>
      </w:r>
      <w:r>
        <w:rPr>
          <w:lang w:val="en-GB" w:eastAsia="zh-CN"/>
        </w:rPr>
        <w:t>[5]</w:t>
      </w:r>
      <w:r>
        <w:rPr>
          <w:lang w:val="en-GB" w:eastAsia="zh-CN"/>
        </w:rPr>
        <w:fldChar w:fldCharType="end"/>
      </w:r>
      <w:r>
        <w:rPr>
          <w:lang w:val="en-GB" w:eastAsia="zh-CN"/>
        </w:rPr>
        <w:t xml:space="preserve"> is also Alt.4. Thus, we propose to go with Alt.4, i.e., the offline proposals from our previous discussion.</w:t>
      </w:r>
    </w:p>
    <w:p>
      <w:pPr>
        <w:pStyle w:val="128"/>
        <w:rPr>
          <w:lang w:val="en-GB"/>
        </w:rPr>
      </w:pPr>
    </w:p>
    <w:p>
      <w:pPr>
        <w:pStyle w:val="111"/>
        <w:numPr>
          <w:ilvl w:val="0"/>
          <w:numId w:val="10"/>
        </w:numPr>
        <w:spacing w:after="200" w:line="276" w:lineRule="auto"/>
        <w:rPr>
          <w:i/>
          <w:lang w:eastAsia="ja-JP"/>
        </w:rPr>
      </w:pPr>
      <w:r>
        <w:rPr>
          <w:rFonts w:hint="eastAsia"/>
          <w:i/>
          <w:lang w:eastAsia="ja-JP"/>
        </w:rPr>
        <w:t>For c</w:t>
      </w:r>
      <w:r>
        <w:rPr>
          <w:i/>
          <w:lang w:eastAsia="ja-JP"/>
        </w:rPr>
        <w:t>ross-carrier scheduling with mixed numerologies, and the number of DL-CCs is up to 4 or with up to T DL-CCs where the UE reports BD capability of y &gt;= T</w:t>
      </w:r>
      <w:r>
        <w:rPr>
          <w:rFonts w:hint="eastAsia"/>
          <w:i/>
          <w:lang w:eastAsia="ja-JP"/>
        </w:rPr>
        <w:t>,</w:t>
      </w:r>
    </w:p>
    <w:p>
      <w:pPr>
        <w:pStyle w:val="111"/>
        <w:numPr>
          <w:ilvl w:val="1"/>
          <w:numId w:val="10"/>
        </w:numPr>
        <w:spacing w:after="200" w:line="276" w:lineRule="auto"/>
        <w:rPr>
          <w:i/>
          <w:lang w:eastAsia="ja-JP"/>
        </w:rPr>
      </w:pPr>
      <w:r>
        <w:rPr>
          <w:rFonts w:hint="eastAsia"/>
          <w:i/>
          <w:lang w:eastAsia="ja-JP"/>
        </w:rPr>
        <w:t xml:space="preserve">If there are N scheduling cells where the numerology of the nth scheduling cell is </w:t>
      </w:r>
      <w:r>
        <w:rPr>
          <w:rFonts w:ascii="Symbol" w:hAnsi="Symbol"/>
          <w:i/>
          <w:lang w:eastAsia="ja-JP"/>
        </w:rPr>
        <w:t></w:t>
      </w:r>
      <w:r>
        <w:rPr>
          <w:rFonts w:hint="eastAsia"/>
          <w:i/>
          <w:lang w:eastAsia="ja-JP"/>
        </w:rPr>
        <w:t xml:space="preserve">(n) with n=1~N and </w:t>
      </w:r>
      <w:r>
        <w:rPr>
          <w:rFonts w:ascii="Symbol" w:hAnsi="Symbol"/>
          <w:i/>
          <w:lang w:eastAsia="ja-JP"/>
        </w:rPr>
        <w:t></w:t>
      </w:r>
      <w:r>
        <w:rPr>
          <w:rFonts w:hint="eastAsia"/>
          <w:i/>
          <w:lang w:eastAsia="ja-JP"/>
        </w:rPr>
        <w:t>(n)=0~3, and the n</w:t>
      </w:r>
      <w:r>
        <w:rPr>
          <w:rFonts w:hint="eastAsia"/>
          <w:i/>
          <w:vertAlign w:val="subscript"/>
          <w:lang w:eastAsia="ja-JP"/>
        </w:rPr>
        <w:t>th</w:t>
      </w:r>
      <w:r>
        <w:rPr>
          <w:rFonts w:hint="eastAsia"/>
          <w:i/>
          <w:lang w:eastAsia="ja-JP"/>
        </w:rPr>
        <w:t xml:space="preserve"> scheduling cell has X</w:t>
      </w:r>
      <w:r>
        <w:rPr>
          <w:rFonts w:hint="eastAsia"/>
          <w:i/>
          <w:vertAlign w:val="subscript"/>
          <w:lang w:eastAsia="ja-JP"/>
        </w:rPr>
        <w:t>i</w:t>
      </w:r>
      <w:r>
        <w:rPr>
          <w:rFonts w:hint="eastAsia"/>
          <w:i/>
          <w:lang w:eastAsia="ja-JP"/>
        </w:rPr>
        <w:t>(n) schedulable DL cells with numerology i w</w:t>
      </w:r>
      <w:r>
        <w:rPr>
          <w:i/>
          <w:lang w:eastAsia="ja-JP"/>
        </w:rPr>
        <w:t>here</w:t>
      </w:r>
      <w:r>
        <w:rPr>
          <w:rFonts w:hint="eastAsia"/>
          <w:i/>
          <w:lang w:eastAsia="ja-JP"/>
        </w:rPr>
        <w:t xml:space="preserve"> i=0~3, the limit of BDs/CCEs of the nth scheduling CC per slot is given by </w:t>
      </w:r>
      <m:oMath>
        <m:nary>
          <m:naryPr>
            <m:chr m:val="∑"/>
            <m:limLoc m:val="undOvr"/>
            <m:ctrlPr>
              <w:rPr>
                <w:rFonts w:ascii="Cambria Math" w:hAnsi="Cambria Math"/>
                <w:i/>
                <w:lang w:eastAsia="ja-JP"/>
              </w:rPr>
            </m:ctrlPr>
          </m:naryPr>
          <m:sub>
            <m:r>
              <w:rPr>
                <w:rFonts w:ascii="Cambria Math" w:hAnsi="Cambria Math"/>
                <w:lang w:eastAsia="ja-JP"/>
              </w:rPr>
              <m:t>i=0</m:t>
            </m:r>
            <m:ctrlPr>
              <w:rPr>
                <w:rFonts w:ascii="Cambria Math" w:hAnsi="Cambria Math"/>
                <w:i/>
                <w:lang w:eastAsia="ja-JP"/>
              </w:rPr>
            </m:ctrlPr>
          </m:sub>
          <m:sup>
            <m:r>
              <w:rPr>
                <w:rFonts w:ascii="Cambria Math" w:hAnsi="Cambria Math"/>
                <w:lang w:eastAsia="ja-JP"/>
              </w:rPr>
              <m:t>3</m:t>
            </m:r>
            <m:ctrlPr>
              <w:rPr>
                <w:rFonts w:ascii="Cambria Math" w:hAnsi="Cambria Math"/>
                <w:i/>
                <w:lang w:eastAsia="ja-JP"/>
              </w:rPr>
            </m:ctrlPr>
          </m:sup>
          <m:e>
            <m:sSub>
              <m:sSubPr>
                <m:ctrlPr>
                  <w:rPr>
                    <w:rFonts w:ascii="Cambria Math" w:hAnsi="Cambria Math"/>
                    <w:i/>
                    <w:lang w:eastAsia="ja-JP"/>
                  </w:rPr>
                </m:ctrlPr>
              </m:sSubPr>
              <m:e>
                <m:r>
                  <w:rPr>
                    <w:rFonts w:ascii="Cambria Math" w:hAnsi="Cambria Math"/>
                    <w:lang w:eastAsia="ja-JP"/>
                  </w:rPr>
                  <m:t>X</m:t>
                </m:r>
                <m:ctrlPr>
                  <w:rPr>
                    <w:rFonts w:ascii="Cambria Math" w:hAnsi="Cambria Math"/>
                    <w:i/>
                    <w:lang w:eastAsia="ja-JP"/>
                  </w:rPr>
                </m:ctrlPr>
              </m:e>
              <m:sub>
                <m:r>
                  <w:rPr>
                    <w:rFonts w:ascii="Cambria Math" w:hAnsi="Cambria Math"/>
                    <w:lang w:eastAsia="ja-JP"/>
                  </w:rPr>
                  <m:t>i</m:t>
                </m:r>
                <m:ctrlPr>
                  <w:rPr>
                    <w:rFonts w:ascii="Cambria Math" w:hAnsi="Cambria Math"/>
                    <w:i/>
                    <w:lang w:eastAsia="ja-JP"/>
                  </w:rPr>
                </m:ctrlPr>
              </m:sub>
            </m:sSub>
            <m:r>
              <w:rPr>
                <w:rFonts w:ascii="Cambria Math" w:hAnsi="Cambria Math"/>
                <w:lang w:eastAsia="ja-JP"/>
              </w:rPr>
              <m:t>(n)×(</m:t>
            </m:r>
            <m:sSub>
              <m:sSubPr>
                <m:ctrlPr>
                  <w:rPr>
                    <w:rFonts w:ascii="Cambria Math" w:hAnsi="Cambria Math"/>
                    <w:i/>
                    <w:lang w:eastAsia="ja-JP"/>
                  </w:rPr>
                </m:ctrlPr>
              </m:sSubPr>
              <m:e>
                <m:r>
                  <w:rPr>
                    <w:rFonts w:ascii="Cambria Math" w:hAnsi="Cambria Math"/>
                    <w:lang w:eastAsia="ja-JP"/>
                  </w:rPr>
                  <m:t>M</m:t>
                </m:r>
                <m:ctrlPr>
                  <w:rPr>
                    <w:rFonts w:ascii="Cambria Math" w:hAnsi="Cambria Math"/>
                    <w:i/>
                    <w:lang w:eastAsia="ja-JP"/>
                  </w:rPr>
                </m:ctrlPr>
              </m:e>
              <m:sub>
                <m:r>
                  <w:rPr>
                    <w:rFonts w:ascii="Cambria Math" w:hAnsi="Cambria Math"/>
                    <w:lang w:eastAsia="ja-JP"/>
                  </w:rPr>
                  <m:t>i</m:t>
                </m:r>
                <m:ctrlPr>
                  <w:rPr>
                    <w:rFonts w:ascii="Cambria Math" w:hAnsi="Cambria Math"/>
                    <w:i/>
                    <w:lang w:eastAsia="ja-JP"/>
                  </w:rPr>
                </m:ctrlPr>
              </m:sub>
            </m:sSub>
            <m:r>
              <w:rPr>
                <w:rFonts w:ascii="Cambria Math" w:hAnsi="Cambria Math"/>
                <w:lang w:eastAsia="ja-JP"/>
              </w:rPr>
              <m:t xml:space="preserve"> or </m:t>
            </m:r>
            <m:sSub>
              <m:sSubPr>
                <m:ctrlPr>
                  <w:rPr>
                    <w:rFonts w:ascii="Cambria Math" w:hAnsi="Cambria Math"/>
                    <w:i/>
                    <w:lang w:eastAsia="ja-JP"/>
                  </w:rPr>
                </m:ctrlPr>
              </m:sSubPr>
              <m:e>
                <m:r>
                  <w:rPr>
                    <w:rFonts w:ascii="Cambria Math" w:hAnsi="Cambria Math"/>
                    <w:lang w:eastAsia="ja-JP"/>
                  </w:rPr>
                  <m:t>N</m:t>
                </m:r>
                <m:ctrlPr>
                  <w:rPr>
                    <w:rFonts w:ascii="Cambria Math" w:hAnsi="Cambria Math"/>
                    <w:i/>
                    <w:lang w:eastAsia="ja-JP"/>
                  </w:rPr>
                </m:ctrlPr>
              </m:e>
              <m:sub>
                <m:r>
                  <w:rPr>
                    <w:rFonts w:ascii="Cambria Math" w:hAnsi="Cambria Math"/>
                    <w:lang w:eastAsia="ja-JP"/>
                  </w:rPr>
                  <m:t>i</m:t>
                </m:r>
                <m:ctrlPr>
                  <w:rPr>
                    <w:rFonts w:ascii="Cambria Math" w:hAnsi="Cambria Math"/>
                    <w:i/>
                    <w:lang w:eastAsia="ja-JP"/>
                  </w:rPr>
                </m:ctrlP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2</m:t>
                </m:r>
                <m:ctrlPr>
                  <w:rPr>
                    <w:rFonts w:ascii="Cambria Math" w:hAnsi="Cambria Math"/>
                    <w:i/>
                    <w:lang w:eastAsia="ja-JP"/>
                  </w:rPr>
                </m:ctrlPr>
              </m:e>
              <m:sup>
                <m:r>
                  <w:rPr>
                    <w:rFonts w:ascii="Cambria Math" w:hAnsi="Cambria Math"/>
                    <w:lang w:eastAsia="ja-JP"/>
                  </w:rPr>
                  <m:t>i-μ(n)</m:t>
                </m:r>
                <m:ctrlPr>
                  <w:rPr>
                    <w:rFonts w:ascii="Cambria Math" w:hAnsi="Cambria Math"/>
                    <w:i/>
                    <w:lang w:eastAsia="ja-JP"/>
                  </w:rPr>
                </m:ctrlPr>
              </m:sup>
            </m:sSup>
            <m:ctrlPr>
              <w:rPr>
                <w:rFonts w:ascii="Cambria Math" w:hAnsi="Cambria Math"/>
                <w:i/>
                <w:lang w:eastAsia="ja-JP"/>
              </w:rPr>
            </m:ctrlPr>
          </m:e>
        </m:nary>
      </m:oMath>
      <w:r>
        <w:rPr>
          <w:rFonts w:hint="eastAsia"/>
          <w:lang w:eastAsia="ja-JP"/>
        </w:rPr>
        <w:t>,</w:t>
      </w:r>
      <w:r>
        <w:rPr>
          <w:rFonts w:hint="eastAsia"/>
          <w:i/>
          <w:lang w:eastAsia="ja-JP"/>
        </w:rPr>
        <w:t xml:space="preserve"> where M</w:t>
      </w:r>
      <w:r>
        <w:rPr>
          <w:rFonts w:hint="eastAsia"/>
          <w:i/>
          <w:vertAlign w:val="subscript"/>
          <w:lang w:eastAsia="ja-JP"/>
        </w:rPr>
        <w:t>i</w:t>
      </w:r>
      <w:r>
        <w:rPr>
          <w:rFonts w:hint="eastAsia"/>
          <w:i/>
          <w:lang w:eastAsia="ja-JP"/>
        </w:rPr>
        <w:t xml:space="preserve"> and N</w:t>
      </w:r>
      <w:r>
        <w:rPr>
          <w:rFonts w:hint="eastAsia"/>
          <w:i/>
          <w:vertAlign w:val="subscript"/>
          <w:lang w:eastAsia="ja-JP"/>
        </w:rPr>
        <w:t>i</w:t>
      </w:r>
      <w:r>
        <w:rPr>
          <w:rFonts w:hint="eastAsia"/>
          <w:i/>
          <w:lang w:eastAsia="ja-JP"/>
        </w:rPr>
        <w:t xml:space="preserve"> denote the limit of BDs and CCEs per slot for non-CA case for numerology i, respectively.</w:t>
      </w:r>
    </w:p>
    <w:p>
      <w:pPr>
        <w:pStyle w:val="111"/>
        <w:numPr>
          <w:ilvl w:val="1"/>
          <w:numId w:val="10"/>
        </w:numPr>
        <w:spacing w:after="200" w:line="276" w:lineRule="auto"/>
        <w:rPr>
          <w:i/>
          <w:lang w:eastAsia="ja-JP"/>
        </w:rPr>
      </w:pPr>
      <w:r>
        <w:rPr>
          <w:i/>
          <w:lang w:eastAsia="ja-JP"/>
        </w:rPr>
        <w:t>The total limit of BDs/CCEs can be split across schedulable CCs for the same scheduling CC, subject to the non-CA limit on each CC</w:t>
      </w:r>
      <w:r>
        <w:rPr>
          <w:rFonts w:hint="eastAsia"/>
          <w:i/>
          <w:lang w:eastAsia="ja-JP"/>
        </w:rPr>
        <w:t>.</w:t>
      </w:r>
    </w:p>
    <w:p>
      <w:pPr>
        <w:pStyle w:val="111"/>
        <w:numPr>
          <w:ilvl w:val="0"/>
          <w:numId w:val="10"/>
        </w:numPr>
        <w:spacing w:after="200" w:line="276" w:lineRule="auto"/>
        <w:rPr>
          <w:i/>
          <w:lang w:eastAsia="ja-JP"/>
        </w:rPr>
      </w:pPr>
      <w:r>
        <w:rPr>
          <w:rFonts w:hint="eastAsia"/>
          <w:i/>
          <w:lang w:eastAsia="ja-JP"/>
        </w:rPr>
        <w:t>For c</w:t>
      </w:r>
      <w:r>
        <w:rPr>
          <w:i/>
          <w:lang w:eastAsia="ja-JP"/>
        </w:rPr>
        <w:t xml:space="preserve">ross-carrier scheduling with mixed numerologies, and the number of DL-CCs is </w:t>
      </w:r>
      <w:r>
        <w:rPr>
          <w:rFonts w:hint="eastAsia"/>
          <w:i/>
          <w:lang w:eastAsia="ja-JP"/>
        </w:rPr>
        <w:t>more than</w:t>
      </w:r>
      <w:r>
        <w:rPr>
          <w:i/>
          <w:lang w:eastAsia="ja-JP"/>
        </w:rPr>
        <w:t xml:space="preserve"> 4 </w:t>
      </w:r>
      <w:r>
        <w:rPr>
          <w:rFonts w:hint="eastAsia"/>
          <w:i/>
          <w:lang w:eastAsia="ja-JP"/>
        </w:rPr>
        <w:t>and</w:t>
      </w:r>
      <w:r>
        <w:rPr>
          <w:i/>
          <w:lang w:eastAsia="ja-JP"/>
        </w:rPr>
        <w:t xml:space="preserve"> with up to T DL-CCs where the UE reports BD capability of y </w:t>
      </w:r>
      <w:r>
        <w:rPr>
          <w:rFonts w:hint="eastAsia"/>
          <w:i/>
          <w:lang w:eastAsia="ja-JP"/>
        </w:rPr>
        <w:t>&lt;</w:t>
      </w:r>
      <w:r>
        <w:rPr>
          <w:i/>
          <w:lang w:eastAsia="ja-JP"/>
        </w:rPr>
        <w:t xml:space="preserve"> T</w:t>
      </w:r>
      <w:r>
        <w:rPr>
          <w:rFonts w:hint="eastAsia"/>
          <w:i/>
          <w:lang w:eastAsia="ja-JP"/>
        </w:rPr>
        <w:t>,</w:t>
      </w:r>
    </w:p>
    <w:p>
      <w:pPr>
        <w:pStyle w:val="111"/>
        <w:numPr>
          <w:ilvl w:val="1"/>
          <w:numId w:val="10"/>
        </w:numPr>
        <w:spacing w:after="200" w:line="276" w:lineRule="auto"/>
        <w:rPr>
          <w:i/>
          <w:lang w:eastAsia="ja-JP"/>
        </w:rPr>
      </w:pPr>
      <w:r>
        <w:rPr>
          <w:rFonts w:hint="eastAsia"/>
          <w:i/>
          <w:lang w:eastAsia="ja-JP"/>
        </w:rPr>
        <w:t xml:space="preserve">If there are N scheduling cells where the numerology of the nth scheduling cell is </w:t>
      </w:r>
      <w:r>
        <w:rPr>
          <w:rFonts w:ascii="Symbol" w:hAnsi="Symbol"/>
          <w:i/>
          <w:lang w:eastAsia="ja-JP"/>
        </w:rPr>
        <w:t></w:t>
      </w:r>
      <w:r>
        <w:rPr>
          <w:rFonts w:hint="eastAsia"/>
          <w:i/>
          <w:lang w:eastAsia="ja-JP"/>
        </w:rPr>
        <w:t xml:space="preserve">(n) with n=1~N and </w:t>
      </w:r>
      <w:r>
        <w:rPr>
          <w:rFonts w:ascii="Symbol" w:hAnsi="Symbol"/>
          <w:i/>
          <w:lang w:eastAsia="ja-JP"/>
        </w:rPr>
        <w:t></w:t>
      </w:r>
      <w:r>
        <w:rPr>
          <w:rFonts w:hint="eastAsia"/>
          <w:i/>
          <w:lang w:eastAsia="ja-JP"/>
        </w:rPr>
        <w:t>(n)=0~3, and the n</w:t>
      </w:r>
      <w:r>
        <w:rPr>
          <w:rFonts w:hint="eastAsia"/>
          <w:i/>
          <w:vertAlign w:val="subscript"/>
          <w:lang w:eastAsia="ja-JP"/>
        </w:rPr>
        <w:t>th</w:t>
      </w:r>
      <w:r>
        <w:rPr>
          <w:rFonts w:hint="eastAsia"/>
          <w:i/>
          <w:lang w:eastAsia="ja-JP"/>
        </w:rPr>
        <w:t xml:space="preserve"> scheduling cell has X</w:t>
      </w:r>
      <w:r>
        <w:rPr>
          <w:rFonts w:hint="eastAsia"/>
          <w:i/>
          <w:vertAlign w:val="subscript"/>
          <w:lang w:eastAsia="ja-JP"/>
        </w:rPr>
        <w:t>i</w:t>
      </w:r>
      <w:r>
        <w:rPr>
          <w:rFonts w:hint="eastAsia"/>
          <w:i/>
          <w:lang w:eastAsia="ja-JP"/>
        </w:rPr>
        <w:t>(n) schedulable DL cells with numerology i w</w:t>
      </w:r>
      <w:r>
        <w:rPr>
          <w:i/>
          <w:lang w:eastAsia="ja-JP"/>
        </w:rPr>
        <w:t>here</w:t>
      </w:r>
      <w:r>
        <w:rPr>
          <w:rFonts w:hint="eastAsia"/>
          <w:i/>
          <w:lang w:eastAsia="ja-JP"/>
        </w:rPr>
        <w:t xml:space="preserve"> i=0~3, the limit of BDs/CCEs of the nth scheduling CC per slot is given by </w:t>
      </w:r>
      <m:oMath>
        <m:d>
          <m:dPr>
            <m:begChr m:val="⌊"/>
            <m:endChr m:val="⌋"/>
            <m:ctrlPr>
              <w:rPr>
                <w:rFonts w:ascii="Cambria Math" w:hAnsi="Cambria Math"/>
                <w:i/>
                <w:lang w:eastAsia="ja-JP"/>
              </w:rPr>
            </m:ctrlPr>
          </m:dPr>
          <m:e>
            <m:nary>
              <m:naryPr>
                <m:chr m:val="∑"/>
                <m:limLoc m:val="undOvr"/>
                <m:ctrlPr>
                  <w:rPr>
                    <w:rFonts w:ascii="Cambria Math" w:hAnsi="Cambria Math"/>
                    <w:i/>
                    <w:lang w:eastAsia="ja-JP"/>
                  </w:rPr>
                </m:ctrlPr>
              </m:naryPr>
              <m:sub>
                <m:r>
                  <w:rPr>
                    <w:rFonts w:ascii="Cambria Math" w:hAnsi="Cambria Math"/>
                    <w:lang w:eastAsia="ja-JP"/>
                  </w:rPr>
                  <m:t>i=0</m:t>
                </m:r>
                <m:ctrlPr>
                  <w:rPr>
                    <w:rFonts w:ascii="Cambria Math" w:hAnsi="Cambria Math"/>
                    <w:i/>
                    <w:lang w:eastAsia="ja-JP"/>
                  </w:rPr>
                </m:ctrlPr>
              </m:sub>
              <m:sup>
                <m:r>
                  <w:rPr>
                    <w:rFonts w:ascii="Cambria Math" w:hAnsi="Cambria Math"/>
                    <w:lang w:eastAsia="ja-JP"/>
                  </w:rPr>
                  <m:t>3</m:t>
                </m:r>
                <m:ctrlPr>
                  <w:rPr>
                    <w:rFonts w:ascii="Cambria Math" w:hAnsi="Cambria Math"/>
                    <w:i/>
                    <w:lang w:eastAsia="ja-JP"/>
                  </w:rPr>
                </m:ctrlPr>
              </m:sup>
              <m:e>
                <m:sSub>
                  <m:sSubPr>
                    <m:ctrlPr>
                      <w:rPr>
                        <w:rFonts w:ascii="Cambria Math" w:hAnsi="Cambria Math"/>
                        <w:i/>
                        <w:lang w:eastAsia="ja-JP"/>
                      </w:rPr>
                    </m:ctrlPr>
                  </m:sSubPr>
                  <m:e>
                    <m:r>
                      <w:rPr>
                        <w:rFonts w:ascii="Cambria Math" w:hAnsi="Cambria Math"/>
                        <w:lang w:eastAsia="ja-JP"/>
                      </w:rPr>
                      <m:t>X</m:t>
                    </m:r>
                    <m:ctrlPr>
                      <w:rPr>
                        <w:rFonts w:ascii="Cambria Math" w:hAnsi="Cambria Math"/>
                        <w:i/>
                        <w:lang w:eastAsia="ja-JP"/>
                      </w:rPr>
                    </m:ctrlPr>
                  </m:e>
                  <m:sub>
                    <m:r>
                      <w:rPr>
                        <w:rFonts w:ascii="Cambria Math" w:hAnsi="Cambria Math"/>
                        <w:lang w:eastAsia="ja-JP"/>
                      </w:rPr>
                      <m:t>i</m:t>
                    </m:r>
                    <m:ctrlPr>
                      <w:rPr>
                        <w:rFonts w:ascii="Cambria Math" w:hAnsi="Cambria Math"/>
                        <w:i/>
                        <w:lang w:eastAsia="ja-JP"/>
                      </w:rPr>
                    </m:ctrlPr>
                  </m:sub>
                </m:sSub>
                <m:r>
                  <w:rPr>
                    <w:rFonts w:ascii="Cambria Math" w:hAnsi="Cambria Math"/>
                    <w:lang w:eastAsia="ja-JP"/>
                  </w:rPr>
                  <m:t>(n)×(</m:t>
                </m:r>
                <m:sSub>
                  <m:sSubPr>
                    <m:ctrlPr>
                      <w:rPr>
                        <w:rFonts w:ascii="Cambria Math" w:hAnsi="Cambria Math"/>
                        <w:i/>
                        <w:lang w:eastAsia="ja-JP"/>
                      </w:rPr>
                    </m:ctrlPr>
                  </m:sSubPr>
                  <m:e>
                    <m:r>
                      <w:rPr>
                        <w:rFonts w:ascii="Cambria Math" w:hAnsi="Cambria Math"/>
                        <w:lang w:eastAsia="ja-JP"/>
                      </w:rPr>
                      <m:t>M</m:t>
                    </m:r>
                    <m:ctrlPr>
                      <w:rPr>
                        <w:rFonts w:ascii="Cambria Math" w:hAnsi="Cambria Math"/>
                        <w:i/>
                        <w:lang w:eastAsia="ja-JP"/>
                      </w:rPr>
                    </m:ctrlPr>
                  </m:e>
                  <m:sub>
                    <m:r>
                      <w:rPr>
                        <w:rFonts w:ascii="Cambria Math" w:hAnsi="Cambria Math"/>
                        <w:lang w:eastAsia="ja-JP"/>
                      </w:rPr>
                      <m:t>i</m:t>
                    </m:r>
                    <m:ctrlPr>
                      <w:rPr>
                        <w:rFonts w:ascii="Cambria Math" w:hAnsi="Cambria Math"/>
                        <w:i/>
                        <w:lang w:eastAsia="ja-JP"/>
                      </w:rPr>
                    </m:ctrlPr>
                  </m:sub>
                </m:sSub>
                <m:r>
                  <w:rPr>
                    <w:rFonts w:ascii="Cambria Math" w:hAnsi="Cambria Math"/>
                    <w:lang w:eastAsia="ja-JP"/>
                  </w:rPr>
                  <m:t xml:space="preserve"> or </m:t>
                </m:r>
                <m:sSub>
                  <m:sSubPr>
                    <m:ctrlPr>
                      <w:rPr>
                        <w:rFonts w:ascii="Cambria Math" w:hAnsi="Cambria Math"/>
                        <w:i/>
                        <w:lang w:eastAsia="ja-JP"/>
                      </w:rPr>
                    </m:ctrlPr>
                  </m:sSubPr>
                  <m:e>
                    <m:r>
                      <w:rPr>
                        <w:rFonts w:ascii="Cambria Math" w:hAnsi="Cambria Math"/>
                        <w:lang w:eastAsia="ja-JP"/>
                      </w:rPr>
                      <m:t>N</m:t>
                    </m:r>
                    <m:ctrlPr>
                      <w:rPr>
                        <w:rFonts w:ascii="Cambria Math" w:hAnsi="Cambria Math"/>
                        <w:i/>
                        <w:lang w:eastAsia="ja-JP"/>
                      </w:rPr>
                    </m:ctrlPr>
                  </m:e>
                  <m:sub>
                    <m:r>
                      <w:rPr>
                        <w:rFonts w:ascii="Cambria Math" w:hAnsi="Cambria Math"/>
                        <w:lang w:eastAsia="ja-JP"/>
                      </w:rPr>
                      <m:t>i</m:t>
                    </m:r>
                    <m:ctrlPr>
                      <w:rPr>
                        <w:rFonts w:ascii="Cambria Math" w:hAnsi="Cambria Math"/>
                        <w:i/>
                        <w:lang w:eastAsia="ja-JP"/>
                      </w:rPr>
                    </m:ctrlP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2</m:t>
                    </m:r>
                    <m:ctrlPr>
                      <w:rPr>
                        <w:rFonts w:ascii="Cambria Math" w:hAnsi="Cambria Math"/>
                        <w:i/>
                        <w:lang w:eastAsia="ja-JP"/>
                      </w:rPr>
                    </m:ctrlPr>
                  </m:e>
                  <m:sup>
                    <m:r>
                      <w:rPr>
                        <w:rFonts w:ascii="Cambria Math" w:hAnsi="Cambria Math"/>
                        <w:lang w:eastAsia="ja-JP"/>
                      </w:rPr>
                      <m:t>i-μ(n)</m:t>
                    </m:r>
                    <m:ctrlPr>
                      <w:rPr>
                        <w:rFonts w:ascii="Cambria Math" w:hAnsi="Cambria Math"/>
                        <w:i/>
                        <w:lang w:eastAsia="ja-JP"/>
                      </w:rPr>
                    </m:ctrlPr>
                  </m:sup>
                </m:sSup>
                <m:r>
                  <w:rPr>
                    <w:rFonts w:ascii="Cambria Math" w:hAnsi="Cambria Math"/>
                    <w:lang w:eastAsia="ja-JP"/>
                  </w:rPr>
                  <m:t>×</m:t>
                </m:r>
                <m:f>
                  <m:fPr>
                    <m:ctrlPr>
                      <w:rPr>
                        <w:rFonts w:ascii="Cambria Math" w:hAnsi="Cambria Math"/>
                        <w:i/>
                        <w:lang w:eastAsia="ja-JP"/>
                      </w:rPr>
                    </m:ctrlPr>
                  </m:fPr>
                  <m:num>
                    <m:r>
                      <w:rPr>
                        <w:rFonts w:ascii="Cambria Math" w:hAnsi="Cambria Math"/>
                        <w:lang w:eastAsia="ja-JP"/>
                      </w:rPr>
                      <m:t>y</m:t>
                    </m:r>
                    <m:ctrlPr>
                      <w:rPr>
                        <w:rFonts w:ascii="Cambria Math" w:hAnsi="Cambria Math"/>
                        <w:i/>
                        <w:lang w:eastAsia="ja-JP"/>
                      </w:rPr>
                    </m:ctrlPr>
                  </m:num>
                  <m:den>
                    <m:sSub>
                      <m:sSubPr>
                        <m:ctrlPr>
                          <w:rPr>
                            <w:rFonts w:ascii="Cambria Math" w:hAnsi="Cambria Math"/>
                            <w:i/>
                            <w:lang w:eastAsia="ja-JP"/>
                          </w:rPr>
                        </m:ctrlPr>
                      </m:sSubPr>
                      <m:e>
                        <m:r>
                          <w:rPr>
                            <w:rFonts w:ascii="Cambria Math" w:hAnsi="Cambria Math"/>
                            <w:lang w:eastAsia="ja-JP"/>
                          </w:rPr>
                          <m:t>X</m:t>
                        </m:r>
                        <m:ctrlPr>
                          <w:rPr>
                            <w:rFonts w:ascii="Cambria Math" w:hAnsi="Cambria Math"/>
                            <w:i/>
                            <w:lang w:eastAsia="ja-JP"/>
                          </w:rPr>
                        </m:ctrlPr>
                      </m:e>
                      <m:sub>
                        <m:r>
                          <w:rPr>
                            <w:rFonts w:ascii="Cambria Math" w:hAnsi="Cambria Math"/>
                            <w:lang w:eastAsia="ja-JP"/>
                          </w:rPr>
                          <m:t>0</m:t>
                        </m:r>
                        <m:ctrlPr>
                          <w:rPr>
                            <w:rFonts w:ascii="Cambria Math" w:hAnsi="Cambria Math"/>
                            <w:i/>
                            <w:lang w:eastAsia="ja-JP"/>
                          </w:rPr>
                        </m:ctrlP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X</m:t>
                        </m:r>
                        <m:ctrlPr>
                          <w:rPr>
                            <w:rFonts w:ascii="Cambria Math" w:hAnsi="Cambria Math"/>
                            <w:i/>
                            <w:lang w:eastAsia="ja-JP"/>
                          </w:rPr>
                        </m:ctrlPr>
                      </m:e>
                      <m:sub>
                        <m:r>
                          <w:rPr>
                            <w:rFonts w:ascii="Cambria Math" w:hAnsi="Cambria Math"/>
                            <w:lang w:eastAsia="ja-JP"/>
                          </w:rPr>
                          <m:t>1</m:t>
                        </m:r>
                        <m:ctrlPr>
                          <w:rPr>
                            <w:rFonts w:ascii="Cambria Math" w:hAnsi="Cambria Math"/>
                            <w:i/>
                            <w:lang w:eastAsia="ja-JP"/>
                          </w:rPr>
                        </m:ctrlP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X</m:t>
                        </m:r>
                        <m:ctrlPr>
                          <w:rPr>
                            <w:rFonts w:ascii="Cambria Math" w:hAnsi="Cambria Math"/>
                            <w:i/>
                            <w:lang w:eastAsia="ja-JP"/>
                          </w:rPr>
                        </m:ctrlPr>
                      </m:e>
                      <m:sub>
                        <m:r>
                          <w:rPr>
                            <w:rFonts w:ascii="Cambria Math" w:hAnsi="Cambria Math"/>
                            <w:lang w:eastAsia="ja-JP"/>
                          </w:rPr>
                          <m:t>2</m:t>
                        </m:r>
                        <m:ctrlPr>
                          <w:rPr>
                            <w:rFonts w:ascii="Cambria Math" w:hAnsi="Cambria Math"/>
                            <w:i/>
                            <w:lang w:eastAsia="ja-JP"/>
                          </w:rPr>
                        </m:ctrlP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X</m:t>
                        </m:r>
                        <m:ctrlPr>
                          <w:rPr>
                            <w:rFonts w:ascii="Cambria Math" w:hAnsi="Cambria Math"/>
                            <w:i/>
                            <w:lang w:eastAsia="ja-JP"/>
                          </w:rPr>
                        </m:ctrlPr>
                      </m:e>
                      <m:sub>
                        <m:r>
                          <w:rPr>
                            <w:rFonts w:ascii="Cambria Math" w:hAnsi="Cambria Math"/>
                            <w:lang w:eastAsia="ja-JP"/>
                          </w:rPr>
                          <m:t>3</m:t>
                        </m:r>
                        <m:ctrlPr>
                          <w:rPr>
                            <w:rFonts w:ascii="Cambria Math" w:hAnsi="Cambria Math"/>
                            <w:i/>
                            <w:lang w:eastAsia="ja-JP"/>
                          </w:rPr>
                        </m:ctrlPr>
                      </m:sub>
                    </m:sSub>
                    <m:ctrlPr>
                      <w:rPr>
                        <w:rFonts w:ascii="Cambria Math" w:hAnsi="Cambria Math"/>
                        <w:i/>
                        <w:lang w:eastAsia="ja-JP"/>
                      </w:rPr>
                    </m:ctrlPr>
                  </m:den>
                </m:f>
                <m:ctrlPr>
                  <w:rPr>
                    <w:rFonts w:ascii="Cambria Math" w:hAnsi="Cambria Math"/>
                    <w:i/>
                    <w:lang w:eastAsia="ja-JP"/>
                  </w:rPr>
                </m:ctrlPr>
              </m:e>
            </m:nary>
            <m:ctrlPr>
              <w:rPr>
                <w:rFonts w:ascii="Cambria Math" w:hAnsi="Cambria Math"/>
                <w:i/>
                <w:lang w:eastAsia="ja-JP"/>
              </w:rPr>
            </m:ctrlPr>
          </m:e>
        </m:d>
      </m:oMath>
      <w:r>
        <w:rPr>
          <w:rFonts w:hint="eastAsia"/>
          <w:i/>
          <w:lang w:eastAsia="ja-JP"/>
        </w:rPr>
        <w:t>, where M</w:t>
      </w:r>
      <w:r>
        <w:rPr>
          <w:rFonts w:hint="eastAsia"/>
          <w:i/>
          <w:vertAlign w:val="subscript"/>
          <w:lang w:eastAsia="ja-JP"/>
        </w:rPr>
        <w:t>i</w:t>
      </w:r>
      <w:r>
        <w:rPr>
          <w:rFonts w:hint="eastAsia"/>
          <w:i/>
          <w:lang w:eastAsia="ja-JP"/>
        </w:rPr>
        <w:t xml:space="preserve"> and N</w:t>
      </w:r>
      <w:r>
        <w:rPr>
          <w:rFonts w:hint="eastAsia"/>
          <w:i/>
          <w:vertAlign w:val="subscript"/>
          <w:lang w:eastAsia="ja-JP"/>
        </w:rPr>
        <w:t>i</w:t>
      </w:r>
      <w:r>
        <w:rPr>
          <w:rFonts w:hint="eastAsia"/>
          <w:i/>
          <w:lang w:eastAsia="ja-JP"/>
        </w:rPr>
        <w:t xml:space="preserve"> denote the limit of BDs and CCEs per slot for non-CA case for numerology i, respectively.</w:t>
      </w:r>
    </w:p>
    <w:p>
      <w:pPr>
        <w:pStyle w:val="111"/>
        <w:numPr>
          <w:ilvl w:val="1"/>
          <w:numId w:val="10"/>
        </w:numPr>
        <w:spacing w:after="200" w:line="276" w:lineRule="auto"/>
        <w:rPr>
          <w:i/>
          <w:lang w:eastAsia="ja-JP"/>
        </w:rPr>
      </w:pPr>
      <w:r>
        <w:rPr>
          <w:i/>
          <w:lang w:eastAsia="ja-JP"/>
        </w:rPr>
        <w:t>The total limit of BDs/CCEs can be split across schedulable CCs for the same scheduling CC, subject to the non-CA limit on each CC</w:t>
      </w:r>
      <w:r>
        <w:rPr>
          <w:rFonts w:hint="eastAsia"/>
          <w:i/>
          <w:lang w:eastAsia="ja-JP"/>
        </w:rPr>
        <w:t>.</w:t>
      </w:r>
    </w:p>
    <w:p>
      <w:pPr>
        <w:pStyle w:val="2"/>
        <w:rPr>
          <w:lang w:eastAsia="zh-CN"/>
        </w:rPr>
      </w:pPr>
      <w:r>
        <w:rPr>
          <w:lang w:eastAsia="zh-CN"/>
        </w:rPr>
        <w:t>Causality constraint</w:t>
      </w:r>
    </w:p>
    <w:p>
      <w:pPr>
        <w:pStyle w:val="3"/>
        <w:rPr>
          <w:szCs w:val="22"/>
          <w:lang w:val="en-US" w:eastAsia="zh-CN"/>
        </w:rPr>
      </w:pPr>
      <w:r>
        <w:rPr>
          <w:rFonts w:hint="eastAsia"/>
          <w:szCs w:val="22"/>
          <w:lang w:val="en-US" w:eastAsia="zh-CN"/>
        </w:rPr>
        <w:t>Background and current status</w:t>
      </w:r>
    </w:p>
    <w:p>
      <w:pPr>
        <w:rPr>
          <w:lang w:eastAsia="zh-CN"/>
        </w:rPr>
      </w:pPr>
      <w:r>
        <w:rPr>
          <w:rFonts w:hint="eastAsia"/>
          <w:lang w:eastAsia="zh-CN"/>
        </w:rPr>
        <w:t xml:space="preserve">Regarding the causality constraint with cross-carrier scheduling, the following agreements have been made in RAN1#93 </w:t>
      </w:r>
      <w:r>
        <w:rPr>
          <w:rFonts w:hint="eastAsia"/>
          <w:lang w:eastAsia="zh-CN"/>
        </w:rPr>
        <w:fldChar w:fldCharType="begin"/>
      </w:r>
      <w:r>
        <w:rPr>
          <w:rFonts w:hint="eastAsia"/>
          <w:lang w:eastAsia="zh-CN"/>
        </w:rPr>
        <w:instrText xml:space="preserve"> REF _Ref4843 \w \h </w:instrText>
      </w:r>
      <w:r>
        <w:rPr>
          <w:rFonts w:hint="eastAsia"/>
          <w:lang w:eastAsia="zh-CN"/>
        </w:rPr>
        <w:fldChar w:fldCharType="separate"/>
      </w:r>
      <w:r>
        <w:rPr>
          <w:lang w:eastAsia="zh-CN"/>
        </w:rPr>
        <w:t>[6]</w:t>
      </w:r>
      <w:r>
        <w:rPr>
          <w:rFonts w:hint="eastAsia"/>
          <w:lang w:eastAsia="zh-CN"/>
        </w:rPr>
        <w:fldChar w:fldCharType="end"/>
      </w:r>
      <w:r>
        <w:rPr>
          <w:rFonts w:hint="eastAsia"/>
          <w:lang w:eastAsia="zh-CN"/>
        </w:rPr>
        <w:t>. It was agreed that cross-carrier scheduling should at least satisfy the causality constraint between scheduling PDCCH and PDSCH for self-scheduling.</w:t>
      </w:r>
    </w:p>
    <w:tbl>
      <w:tblPr>
        <w:tblStyle w:val="5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pStyle w:val="111"/>
              <w:spacing w:before="120" w:line="280" w:lineRule="atLeast"/>
              <w:ind w:left="0"/>
              <w:rPr>
                <w:rFonts w:ascii="New York" w:hAnsi="New York"/>
                <w:szCs w:val="20"/>
              </w:rPr>
            </w:pPr>
            <w:r>
              <w:rPr>
                <w:rFonts w:ascii="New York" w:hAnsi="New York"/>
                <w:szCs w:val="20"/>
                <w:highlight w:val="green"/>
              </w:rPr>
              <w:t>Agreements</w:t>
            </w:r>
            <w:r>
              <w:rPr>
                <w:rFonts w:ascii="New York" w:hAnsi="New York"/>
                <w:szCs w:val="20"/>
              </w:rPr>
              <w:t>:</w:t>
            </w:r>
          </w:p>
          <w:p>
            <w:pPr>
              <w:numPr>
                <w:ilvl w:val="0"/>
                <w:numId w:val="11"/>
              </w:numPr>
              <w:overflowPunct/>
              <w:autoSpaceDE/>
              <w:autoSpaceDN/>
              <w:adjustRightInd/>
              <w:spacing w:before="120" w:after="0" w:line="280" w:lineRule="atLeast"/>
              <w:textAlignment w:val="auto"/>
              <w:rPr>
                <w:rFonts w:ascii="New York" w:hAnsi="New York"/>
                <w:b/>
                <w:u w:val="single"/>
                <w:lang w:eastAsia="zh-TW"/>
              </w:rPr>
            </w:pPr>
            <w:r>
              <w:rPr>
                <w:rFonts w:ascii="New York" w:hAnsi="New York"/>
              </w:rPr>
              <w:t>Cross-carrier scheduling should at least satisfy the causality constraints between scheduling PDCCH and PDSCH as for self-scheduling, also taking into carrier timing difference</w:t>
            </w:r>
          </w:p>
          <w:p>
            <w:pPr>
              <w:pStyle w:val="111"/>
              <w:numPr>
                <w:ilvl w:val="1"/>
                <w:numId w:val="11"/>
              </w:numPr>
              <w:spacing w:before="120" w:after="0" w:line="280" w:lineRule="atLeast"/>
              <w:rPr>
                <w:rFonts w:ascii="New York" w:hAnsi="New York"/>
                <w:szCs w:val="20"/>
              </w:rPr>
            </w:pPr>
            <w:r>
              <w:rPr>
                <w:rFonts w:ascii="New York" w:hAnsi="New York"/>
                <w:szCs w:val="20"/>
              </w:rPr>
              <w:t>Note: in the case of mixed numerology, limitations on the number of symbols to buffer need to be taken into account</w:t>
            </w:r>
          </w:p>
          <w:p>
            <w:pPr>
              <w:pStyle w:val="111"/>
              <w:spacing w:before="120" w:line="280" w:lineRule="atLeast"/>
              <w:ind w:left="0"/>
              <w:rPr>
                <w:rFonts w:ascii="New York" w:hAnsi="New York"/>
                <w:b/>
                <w:szCs w:val="20"/>
              </w:rPr>
            </w:pPr>
            <w:r>
              <w:rPr>
                <w:rFonts w:ascii="New York" w:hAnsi="New York"/>
                <w:szCs w:val="20"/>
                <w:highlight w:val="green"/>
              </w:rPr>
              <w:t>Agreements</w:t>
            </w:r>
            <w:r>
              <w:rPr>
                <w:rFonts w:ascii="New York" w:hAnsi="New York"/>
                <w:b/>
                <w:szCs w:val="20"/>
              </w:rPr>
              <w:t>:</w:t>
            </w:r>
          </w:p>
          <w:p>
            <w:pPr>
              <w:numPr>
                <w:ilvl w:val="0"/>
                <w:numId w:val="11"/>
              </w:numPr>
              <w:overflowPunct/>
              <w:autoSpaceDE/>
              <w:autoSpaceDN/>
              <w:adjustRightInd/>
              <w:spacing w:before="120" w:after="0" w:line="280" w:lineRule="atLeast"/>
              <w:textAlignment w:val="auto"/>
              <w:rPr>
                <w:rFonts w:ascii="New York" w:hAnsi="New York"/>
                <w:sz w:val="21"/>
                <w:szCs w:val="22"/>
                <w:lang w:eastAsia="zh-TW"/>
              </w:rPr>
            </w:pPr>
            <w:r>
              <w:rPr>
                <w:rFonts w:ascii="New York" w:hAnsi="New York"/>
                <w:sz w:val="21"/>
                <w:szCs w:val="22"/>
                <w:lang w:eastAsia="zh-TW"/>
              </w:rPr>
              <w:t>For cross-carrier scheduling across different numerology</w:t>
            </w:r>
          </w:p>
          <w:p>
            <w:pPr>
              <w:pStyle w:val="111"/>
              <w:numPr>
                <w:ilvl w:val="1"/>
                <w:numId w:val="11"/>
              </w:numPr>
              <w:spacing w:before="120" w:after="0" w:line="280" w:lineRule="atLeast"/>
              <w:rPr>
                <w:rFonts w:ascii="New York" w:hAnsi="New York"/>
                <w:lang w:val="en-US" w:eastAsia="zh-CN"/>
              </w:rPr>
            </w:pPr>
            <w:r>
              <w:rPr>
                <w:rFonts w:ascii="New York" w:hAnsi="New York"/>
                <w:sz w:val="21"/>
                <w:szCs w:val="20"/>
                <w:lang w:eastAsia="zh-TW"/>
              </w:rPr>
              <w:t xml:space="preserve">FFS: how to specify additional constraints related to K0 to address </w:t>
            </w:r>
            <w:r>
              <w:rPr>
                <w:rFonts w:ascii="New York" w:hAnsi="New York"/>
                <w:sz w:val="21"/>
                <w:szCs w:val="20"/>
              </w:rPr>
              <w:t>the number of symbols which may need to be buffered</w:t>
            </w:r>
          </w:p>
        </w:tc>
      </w:tr>
    </w:tbl>
    <w:p>
      <w:pPr>
        <w:rPr>
          <w:lang w:eastAsia="zh-CN"/>
        </w:rPr>
      </w:pPr>
    </w:p>
    <w:p>
      <w:pPr>
        <w:rPr>
          <w:lang w:eastAsia="zh-CN"/>
        </w:rPr>
      </w:pPr>
      <w:r>
        <w:rPr>
          <w:rFonts w:hint="eastAsia"/>
          <w:lang w:eastAsia="zh-CN"/>
        </w:rPr>
        <w:t xml:space="preserve">In case of PDCCH in a CC with smaller numerology and the scheduled PDSCH in a CC with larger numerology, UE has to buffer signals in a lot of symbols. As depicted in </w:t>
      </w:r>
      <w:r>
        <w:rPr>
          <w:rFonts w:hint="eastAsia"/>
          <w:lang w:eastAsia="zh-CN"/>
        </w:rPr>
        <w:fldChar w:fldCharType="begin"/>
      </w:r>
      <w:r>
        <w:rPr>
          <w:rFonts w:hint="eastAsia"/>
          <w:lang w:eastAsia="zh-CN"/>
        </w:rPr>
        <w:instrText xml:space="preserve"> REF _Ref10995 \h </w:instrText>
      </w:r>
      <w:r>
        <w:rPr>
          <w:rFonts w:hint="eastAsia"/>
          <w:lang w:eastAsia="zh-CN"/>
        </w:rPr>
        <w:fldChar w:fldCharType="separate"/>
      </w:r>
      <w:r>
        <w:t>Figure 1</w:t>
      </w:r>
      <w:r>
        <w:rPr>
          <w:rFonts w:hint="eastAsia"/>
          <w:lang w:eastAsia="zh-CN"/>
        </w:rPr>
        <w:fldChar w:fldCharType="end"/>
      </w:r>
      <w:r>
        <w:rPr>
          <w:rFonts w:hint="eastAsia"/>
          <w:lang w:eastAsia="zh-CN"/>
        </w:rPr>
        <w:t>, assuming a 15</w:t>
      </w:r>
      <w:r>
        <w:rPr>
          <w:lang w:eastAsia="zh-CN"/>
        </w:rPr>
        <w:t xml:space="preserve"> </w:t>
      </w:r>
      <w:r>
        <w:rPr>
          <w:rFonts w:hint="eastAsia"/>
          <w:lang w:eastAsia="zh-CN"/>
        </w:rPr>
        <w:t>KHz CC #1 schedules PDSCH on a 60KHz CC#2, the PDCCH duration is 2 symbols and the PDCCH processing delay is 1 symbol. Since UE can</w:t>
      </w:r>
      <w:r>
        <w:rPr>
          <w:lang w:eastAsia="zh-CN"/>
        </w:rPr>
        <w:t>’</w:t>
      </w:r>
      <w:r>
        <w:rPr>
          <w:rFonts w:hint="eastAsia"/>
          <w:lang w:eastAsia="zh-CN"/>
        </w:rPr>
        <w:t xml:space="preserve">t anticipate whether there is PDSCH for it in CC#2 until it decodes this PDCCH, UE has to buffer the first 12 symbols in the slot indicated by K0=0 regardless of the existence of PDSCH in CC#2. </w:t>
      </w:r>
    </w:p>
    <w:p>
      <w:pPr>
        <w:jc w:val="center"/>
      </w:pPr>
      <w:r>
        <w:rPr>
          <w:lang w:eastAsia="zh-CN"/>
        </w:rPr>
        <w:drawing>
          <wp:inline distT="0" distB="0" distL="114300" distR="114300">
            <wp:extent cx="4648835" cy="1857375"/>
            <wp:effectExtent l="0" t="0" r="184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4648835" cy="1857375"/>
                    </a:xfrm>
                    <a:prstGeom prst="rect">
                      <a:avLst/>
                    </a:prstGeom>
                    <a:noFill/>
                    <a:ln>
                      <a:noFill/>
                    </a:ln>
                  </pic:spPr>
                </pic:pic>
              </a:graphicData>
            </a:graphic>
          </wp:inline>
        </w:drawing>
      </w:r>
    </w:p>
    <w:p>
      <w:pPr>
        <w:pStyle w:val="30"/>
        <w:jc w:val="center"/>
      </w:pPr>
      <w:bookmarkStart w:id="4" w:name="_Ref10995"/>
      <w:r>
        <w:t xml:space="preserve">Figure </w:t>
      </w:r>
      <w:r>
        <w:fldChar w:fldCharType="begin"/>
      </w:r>
      <w:r>
        <w:instrText xml:space="preserve"> SEQ Figure \* ARABIC </w:instrText>
      </w:r>
      <w:r>
        <w:fldChar w:fldCharType="separate"/>
      </w:r>
      <w:r>
        <w:t>1</w:t>
      </w:r>
      <w:r>
        <w:fldChar w:fldCharType="end"/>
      </w:r>
      <w:bookmarkEnd w:id="4"/>
      <w:r>
        <w:rPr>
          <w:rFonts w:hint="eastAsia"/>
          <w:lang w:eastAsia="zh-CN"/>
        </w:rPr>
        <w:t xml:space="preserve"> </w:t>
      </w:r>
      <w:r>
        <w:rPr>
          <w:rFonts w:hint="eastAsia"/>
          <w:b w:val="0"/>
          <w:bCs w:val="0"/>
          <w:lang w:eastAsia="zh-CN"/>
        </w:rPr>
        <w:t>Cross-carrier scheduling with different numerologies</w:t>
      </w:r>
    </w:p>
    <w:p>
      <w:pPr>
        <w:rPr>
          <w:lang w:eastAsia="zh-CN"/>
        </w:rPr>
      </w:pPr>
      <w:r>
        <w:rPr>
          <w:rFonts w:hint="eastAsia"/>
          <w:lang w:eastAsia="zh-CN"/>
        </w:rPr>
        <w:t>This is a crucial issue for UE implementation since the UE buffering requirement is proportional to the number of scheduled CCs. One scheduling CC is allowed to schedule up to 8 CCs in NR, without any further limitation, the buffering requirement for NR UE may be too high.</w:t>
      </w:r>
    </w:p>
    <w:p>
      <w:pPr>
        <w:rPr>
          <w:lang w:eastAsia="zh-CN"/>
        </w:rPr>
      </w:pPr>
      <w:r>
        <w:rPr>
          <w:rFonts w:hint="eastAsia"/>
          <w:lang w:eastAsia="zh-CN"/>
        </w:rPr>
        <w:t>There are two solutions on the table proposed by companies.</w:t>
      </w:r>
    </w:p>
    <w:p>
      <w:pPr>
        <w:rPr>
          <w:lang w:eastAsia="zh-CN"/>
        </w:rPr>
      </w:pPr>
      <w:r>
        <w:rPr>
          <w:rFonts w:hint="eastAsia"/>
          <w:b/>
          <w:bCs/>
          <w:lang w:eastAsia="zh-CN"/>
        </w:rPr>
        <w:t>Solution#1</w:t>
      </w:r>
      <w:r>
        <w:rPr>
          <w:rFonts w:hint="eastAsia"/>
          <w:lang w:eastAsia="zh-CN"/>
        </w:rPr>
        <w:t>: Define a minimum K0 threshold for different cases</w:t>
      </w:r>
    </w:p>
    <w:p>
      <w:pPr>
        <w:rPr>
          <w:lang w:eastAsia="zh-CN"/>
        </w:rPr>
      </w:pPr>
      <w:r>
        <w:rPr>
          <w:rFonts w:hint="eastAsia"/>
          <w:b/>
          <w:bCs/>
          <w:lang w:eastAsia="zh-CN"/>
        </w:rPr>
        <w:t>Solution#2</w:t>
      </w:r>
      <w:r>
        <w:rPr>
          <w:rFonts w:hint="eastAsia"/>
          <w:lang w:eastAsia="zh-CN"/>
        </w:rPr>
        <w:t>: Scheduled PDSCH is not allowed to be earlier than the ending symbol of PDCCH</w:t>
      </w:r>
    </w:p>
    <w:p>
      <w:pPr>
        <w:pStyle w:val="3"/>
        <w:rPr>
          <w:szCs w:val="22"/>
          <w:lang w:val="en-US" w:eastAsia="zh-CN"/>
        </w:rPr>
      </w:pPr>
      <w:r>
        <w:rPr>
          <w:rFonts w:hint="eastAsia"/>
          <w:szCs w:val="22"/>
          <w:lang w:val="en-US" w:eastAsia="zh-CN"/>
        </w:rPr>
        <w:t>Solutions</w:t>
      </w:r>
    </w:p>
    <w:p>
      <w:pPr>
        <w:rPr>
          <w:sz w:val="21"/>
          <w:szCs w:val="22"/>
          <w:lang w:eastAsia="zh-CN"/>
        </w:rPr>
      </w:pPr>
      <w:r>
        <w:rPr>
          <w:rFonts w:hint="eastAsia"/>
          <w:sz w:val="21"/>
          <w:szCs w:val="22"/>
          <w:lang w:eastAsia="zh-CN"/>
        </w:rPr>
        <w:t>Between the two solutions on the table, we slightly prefer Solution#2. If we go with Solution#1, we have to discuss minimum K0 for different combinations of (SCS of scheduling CC, SCS of scheduled CC) and even take into account the UE capability. It may augment the workload and complexity of this issue.</w:t>
      </w:r>
    </w:p>
    <w:p>
      <w:pPr>
        <w:rPr>
          <w:sz w:val="21"/>
          <w:szCs w:val="22"/>
          <w:lang w:eastAsia="zh-CN"/>
        </w:rPr>
      </w:pPr>
      <w:r>
        <w:rPr>
          <w:rFonts w:hint="eastAsia"/>
          <w:sz w:val="21"/>
          <w:szCs w:val="22"/>
          <w:lang w:eastAsia="zh-CN"/>
        </w:rPr>
        <w:t xml:space="preserve">Compared with Solution#1, Solution#2 is simpler from </w:t>
      </w:r>
      <w:r>
        <w:rPr>
          <w:sz w:val="21"/>
          <w:szCs w:val="22"/>
          <w:lang w:eastAsia="zh-CN"/>
        </w:rPr>
        <w:t>standardization</w:t>
      </w:r>
      <w:r>
        <w:rPr>
          <w:rFonts w:hint="eastAsia"/>
          <w:sz w:val="21"/>
          <w:szCs w:val="22"/>
          <w:lang w:eastAsia="zh-CN"/>
        </w:rPr>
        <w:t xml:space="preserve"> and implementation perspective.</w:t>
      </w:r>
    </w:p>
    <w:p>
      <w:pPr>
        <w:pStyle w:val="128"/>
        <w:rPr>
          <w:lang w:eastAsia="zh-CN"/>
        </w:rPr>
      </w:pPr>
      <w:r>
        <w:rPr>
          <w:rFonts w:hint="eastAsia"/>
          <w:lang w:eastAsia="zh-CN"/>
        </w:rPr>
        <w:t>In case of cross-carrier scheduling</w:t>
      </w:r>
      <w:r>
        <w:rPr>
          <w:lang w:eastAsia="zh-CN"/>
        </w:rPr>
        <w:t xml:space="preserve"> with different numerologies</w:t>
      </w:r>
      <w:r>
        <w:rPr>
          <w:rFonts w:hint="eastAsia"/>
          <w:lang w:eastAsia="zh-CN"/>
        </w:rPr>
        <w:t>, PDSCH is not allowed to be (even partially) overlapped with the corresponding scheduling PDCCH.</w:t>
      </w:r>
    </w:p>
    <w:p>
      <w:pPr>
        <w:pStyle w:val="2"/>
        <w:rPr>
          <w:lang w:eastAsia="zh-CN"/>
        </w:rPr>
      </w:pPr>
      <w:r>
        <w:rPr>
          <w:lang w:eastAsia="zh-CN"/>
        </w:rPr>
        <w:t>QCL determination</w:t>
      </w:r>
    </w:p>
    <w:p>
      <w:pPr>
        <w:pStyle w:val="3"/>
        <w:rPr>
          <w:szCs w:val="22"/>
          <w:lang w:val="en-US" w:eastAsia="zh-CN"/>
        </w:rPr>
      </w:pPr>
      <w:r>
        <w:rPr>
          <w:rFonts w:hint="eastAsia"/>
          <w:szCs w:val="22"/>
          <w:lang w:val="en-US" w:eastAsia="zh-CN"/>
        </w:rPr>
        <w:t>Background and current status</w:t>
      </w:r>
    </w:p>
    <w:p>
      <w:pPr>
        <w:rPr>
          <w:lang w:eastAsia="zh-CN"/>
        </w:rPr>
      </w:pPr>
      <w:r>
        <w:rPr>
          <w:rFonts w:hint="eastAsia"/>
          <w:lang w:eastAsia="zh-CN"/>
        </w:rPr>
        <w:t xml:space="preserve">During last meeting, RAN#1 reached an agreement on QCL determination with cross-carrier scheduling </w:t>
      </w:r>
      <w:r>
        <w:rPr>
          <w:rFonts w:hint="eastAsia"/>
          <w:lang w:eastAsia="zh-CN"/>
        </w:rPr>
        <w:fldChar w:fldCharType="begin"/>
      </w:r>
      <w:r>
        <w:rPr>
          <w:rFonts w:hint="eastAsia"/>
          <w:lang w:eastAsia="zh-CN"/>
        </w:rPr>
        <w:instrText xml:space="preserve"> REF _Ref20929 \n \h </w:instrText>
      </w:r>
      <w:r>
        <w:rPr>
          <w:rFonts w:hint="eastAsia"/>
          <w:lang w:eastAsia="zh-CN"/>
        </w:rPr>
        <w:fldChar w:fldCharType="separate"/>
      </w:r>
      <w:r>
        <w:rPr>
          <w:lang w:eastAsia="zh-CN"/>
        </w:rPr>
        <w:t>[7]</w:t>
      </w:r>
      <w:r>
        <w:rPr>
          <w:rFonts w:hint="eastAsia"/>
          <w:lang w:eastAsia="zh-CN"/>
        </w:rPr>
        <w:fldChar w:fldCharType="end"/>
      </w:r>
      <w:r>
        <w:rPr>
          <w:rFonts w:hint="eastAsia"/>
          <w:lang w:eastAsia="zh-CN"/>
        </w:rPr>
        <w:t>, which is excerpted as below.</w:t>
      </w:r>
    </w:p>
    <w:tbl>
      <w:tblPr>
        <w:tblStyle w:val="5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spacing w:before="120" w:line="280" w:lineRule="atLeast"/>
              <w:rPr>
                <w:rFonts w:ascii="New York" w:hAnsi="New York"/>
                <w:highlight w:val="green"/>
              </w:rPr>
            </w:pPr>
            <w:r>
              <w:rPr>
                <w:rFonts w:ascii="New York" w:hAnsi="New York"/>
                <w:highlight w:val="green"/>
              </w:rPr>
              <w:t>Agreement</w:t>
            </w:r>
          </w:p>
          <w:p>
            <w:pPr>
              <w:pStyle w:val="111"/>
              <w:numPr>
                <w:ilvl w:val="0"/>
                <w:numId w:val="12"/>
              </w:numPr>
              <w:spacing w:before="120" w:line="280" w:lineRule="atLeast"/>
              <w:rPr>
                <w:rFonts w:ascii="New York" w:hAnsi="New York"/>
                <w:lang w:val="en-US"/>
              </w:rPr>
            </w:pPr>
            <w:r>
              <w:rPr>
                <w:rFonts w:ascii="New York" w:hAnsi="New York"/>
                <w:lang w:val="en-US"/>
              </w:rPr>
              <w:t>For cross carrier scheduling, Tci-PresentInDCI has to be always enabled</w:t>
            </w:r>
          </w:p>
          <w:p>
            <w:pPr>
              <w:pStyle w:val="111"/>
              <w:numPr>
                <w:ilvl w:val="0"/>
                <w:numId w:val="12"/>
              </w:numPr>
              <w:spacing w:before="120" w:line="280" w:lineRule="atLeast"/>
              <w:rPr>
                <w:rFonts w:ascii="New York" w:hAnsi="New York"/>
                <w:lang w:val="en-US"/>
              </w:rPr>
            </w:pPr>
            <w:r>
              <w:rPr>
                <w:rFonts w:ascii="New York" w:hAnsi="New York"/>
                <w:lang w:val="en-US"/>
              </w:rPr>
              <w:t>For cross-carrier scheduling with tci-PresentInDCI being enabled for a DCI format 1_1, the scheduling timing offset cannot be smaller than the threshold</w:t>
            </w:r>
          </w:p>
          <w:p>
            <w:pPr>
              <w:pStyle w:val="111"/>
              <w:numPr>
                <w:ilvl w:val="0"/>
                <w:numId w:val="12"/>
              </w:numPr>
              <w:spacing w:before="120" w:line="280" w:lineRule="atLeast"/>
              <w:rPr>
                <w:rFonts w:ascii="New York" w:hAnsi="New York"/>
                <w:lang w:val="en-US"/>
              </w:rPr>
            </w:pPr>
            <w:r>
              <w:rPr>
                <w:rFonts w:ascii="New York" w:hAnsi="New York"/>
                <w:lang w:val="en-US"/>
              </w:rPr>
              <w:t>Above two bullets apply in case the scheduled carrier is in FR2</w:t>
            </w:r>
          </w:p>
          <w:p>
            <w:pPr>
              <w:pStyle w:val="111"/>
              <w:numPr>
                <w:ilvl w:val="0"/>
                <w:numId w:val="12"/>
              </w:numPr>
              <w:spacing w:before="120" w:line="280" w:lineRule="atLeast"/>
              <w:rPr>
                <w:rFonts w:ascii="New York" w:hAnsi="New York"/>
                <w:lang w:val="sv-SE"/>
              </w:rPr>
            </w:pPr>
            <w:r>
              <w:rPr>
                <w:rFonts w:ascii="New York" w:hAnsi="New York"/>
                <w:lang w:val="en-US"/>
              </w:rPr>
              <w:t>The first bullet applies for both FR1 and FR2</w:t>
            </w:r>
          </w:p>
          <w:p>
            <w:pPr>
              <w:pStyle w:val="111"/>
              <w:numPr>
                <w:ilvl w:val="0"/>
                <w:numId w:val="12"/>
              </w:numPr>
              <w:spacing w:before="120" w:after="0" w:line="280" w:lineRule="atLeast"/>
              <w:ind w:left="714" w:hanging="357"/>
              <w:rPr>
                <w:rFonts w:ascii="New York" w:hAnsi="New York"/>
                <w:lang w:val="en-US" w:eastAsia="zh-CN"/>
              </w:rPr>
            </w:pPr>
            <w:r>
              <w:rPr>
                <w:rFonts w:ascii="New York" w:hAnsi="New York"/>
                <w:lang w:val="en-US"/>
              </w:rPr>
              <w:t xml:space="preserve">The first two bullets apply only for CORESET associated for cross carrier scheduling </w:t>
            </w:r>
          </w:p>
        </w:tc>
      </w:tr>
    </w:tbl>
    <w:p>
      <w:pPr>
        <w:rPr>
          <w:lang w:eastAsia="zh-CN"/>
        </w:rPr>
      </w:pPr>
    </w:p>
    <w:p>
      <w:pPr>
        <w:rPr>
          <w:lang w:eastAsia="zh-CN"/>
        </w:rPr>
      </w:pPr>
      <w:r>
        <w:rPr>
          <w:rFonts w:hint="eastAsia"/>
          <w:lang w:eastAsia="zh-CN"/>
        </w:rPr>
        <w:t xml:space="preserve">According to the Rel-15 agreements and specifications, if the scheduled carrier is in FR2, the </w:t>
      </w:r>
      <w:r>
        <w:rPr>
          <w:rFonts w:hint="eastAsia"/>
          <w:i/>
          <w:iCs/>
          <w:lang w:eastAsia="zh-CN"/>
        </w:rPr>
        <w:t>tci-PresentInDCI</w:t>
      </w:r>
      <w:r>
        <w:rPr>
          <w:rFonts w:hint="eastAsia"/>
          <w:lang w:eastAsia="zh-CN"/>
        </w:rPr>
        <w:t xml:space="preserve"> has to be always enabled in the cross-carrier s</w:t>
      </w:r>
      <w:r>
        <w:rPr>
          <w:lang w:eastAsia="zh-CN"/>
        </w:rPr>
        <w:t>c</w:t>
      </w:r>
      <w:r>
        <w:rPr>
          <w:rFonts w:hint="eastAsia"/>
          <w:lang w:eastAsia="zh-CN"/>
        </w:rPr>
        <w:t xml:space="preserve">heduling DCI and the cross-carrier scheduling timing offset cannot be smaller than the </w:t>
      </w:r>
      <w:bookmarkStart w:id="5" w:name="OLE_LINK1"/>
      <w:r>
        <w:rPr>
          <w:i/>
          <w:color w:val="000000"/>
        </w:rPr>
        <w:t>Threshold-Sched-Offset</w:t>
      </w:r>
      <w:bookmarkEnd w:id="5"/>
      <w:r>
        <w:rPr>
          <w:rFonts w:hint="eastAsia"/>
          <w:lang w:eastAsia="zh-CN"/>
        </w:rPr>
        <w:t xml:space="preserve">. </w:t>
      </w:r>
    </w:p>
    <w:p>
      <w:pPr>
        <w:rPr>
          <w:lang w:eastAsia="zh-CN"/>
        </w:rPr>
      </w:pPr>
      <w:r>
        <w:rPr>
          <w:rFonts w:hint="eastAsia"/>
          <w:lang w:eastAsia="zh-CN"/>
        </w:rPr>
        <w:t xml:space="preserve">As explained in the latest UE feature list endorsed in RAN#82 </w:t>
      </w:r>
      <w:r>
        <w:rPr>
          <w:rFonts w:hint="eastAsia"/>
          <w:lang w:eastAsia="zh-CN"/>
        </w:rPr>
        <w:fldChar w:fldCharType="begin"/>
      </w:r>
      <w:r>
        <w:rPr>
          <w:rFonts w:hint="eastAsia"/>
          <w:lang w:eastAsia="zh-CN"/>
        </w:rPr>
        <w:instrText xml:space="preserve"> REF _Ref9794 \n \h </w:instrText>
      </w:r>
      <w:r>
        <w:rPr>
          <w:rFonts w:hint="eastAsia"/>
          <w:lang w:eastAsia="zh-CN"/>
        </w:rPr>
        <w:fldChar w:fldCharType="separate"/>
      </w:r>
      <w:r>
        <w:rPr>
          <w:lang w:eastAsia="zh-CN"/>
        </w:rPr>
        <w:t>[8]</w:t>
      </w:r>
      <w:r>
        <w:rPr>
          <w:rFonts w:hint="eastAsia"/>
          <w:lang w:eastAsia="zh-CN"/>
        </w:rPr>
        <w:fldChar w:fldCharType="end"/>
      </w:r>
      <w:r>
        <w:rPr>
          <w:rFonts w:hint="eastAsia"/>
          <w:lang w:eastAsia="zh-CN"/>
        </w:rPr>
        <w:t xml:space="preserve">, for 60 KHz SCS of scheduled carrier, the candidate values of </w:t>
      </w:r>
      <w:r>
        <w:rPr>
          <w:i/>
          <w:color w:val="000000"/>
        </w:rPr>
        <w:t>Threshold-Sched-Offset</w:t>
      </w:r>
      <w:r>
        <w:rPr>
          <w:rFonts w:hint="eastAsia"/>
          <w:i/>
          <w:color w:val="000000"/>
          <w:lang w:eastAsia="zh-CN"/>
        </w:rPr>
        <w:t xml:space="preserve"> </w:t>
      </w:r>
      <w:r>
        <w:rPr>
          <w:rFonts w:hint="eastAsia"/>
          <w:lang w:eastAsia="zh-CN"/>
        </w:rPr>
        <w:t xml:space="preserve">is {7, 14, 28}; for 120 KHz SCS of scheduled carrier, the candidate values of </w:t>
      </w:r>
      <w:r>
        <w:rPr>
          <w:i/>
          <w:color w:val="000000"/>
        </w:rPr>
        <w:t>Threshold-Sched-Offset</w:t>
      </w:r>
      <w:r>
        <w:rPr>
          <w:rFonts w:hint="eastAsia"/>
          <w:i/>
          <w:color w:val="000000"/>
          <w:lang w:eastAsia="zh-CN"/>
        </w:rPr>
        <w:t xml:space="preserve"> </w:t>
      </w:r>
      <w:r>
        <w:rPr>
          <w:rFonts w:hint="eastAsia"/>
          <w:lang w:eastAsia="zh-CN"/>
        </w:rPr>
        <w:t>is {14, 28}. That</w:t>
      </w:r>
      <w:r>
        <w:rPr>
          <w:lang w:eastAsia="zh-CN"/>
        </w:rPr>
        <w:t>’</w:t>
      </w:r>
      <w:r>
        <w:rPr>
          <w:rFonts w:hint="eastAsia"/>
          <w:lang w:eastAsia="zh-CN"/>
        </w:rPr>
        <w:t xml:space="preserve">s to say, the </w:t>
      </w:r>
      <w:r>
        <w:rPr>
          <w:lang w:eastAsia="zh-CN"/>
        </w:rPr>
        <w:t xml:space="preserve">basic </w:t>
      </w:r>
      <w:r>
        <w:rPr>
          <w:rFonts w:hint="eastAsia"/>
          <w:lang w:eastAsia="zh-CN"/>
        </w:rPr>
        <w:t>cross-carrier scheduling timing offset</w:t>
      </w:r>
      <w:r>
        <w:rPr>
          <w:lang w:eastAsia="zh-CN"/>
        </w:rPr>
        <w:t xml:space="preserve"> is 28 symbols with basic UE capability. Even with higher UE capability, the offset</w:t>
      </w:r>
      <w:r>
        <w:rPr>
          <w:rFonts w:hint="eastAsia"/>
          <w:lang w:eastAsia="zh-CN"/>
        </w:rPr>
        <w:t xml:space="preserve"> is at least 7 symbols for the scheduled carrier of 60 KHz SCS and 14 symbols for the scheduled carrier of 120 KHz SCS.</w:t>
      </w:r>
      <w:r>
        <w:rPr>
          <w:lang w:eastAsia="zh-CN"/>
        </w:rPr>
        <w:t xml:space="preserve">  This additional latency is unnecessary especially for basic single beam system.  It may be okay to have such restriction in Rel-15 because FR1 cross-carrier scheduling FR2 carrier is anyway not supported in Rel-15. Given that cross carrier scheduling with different numerologies is supported in Rel-16, this restriction will limit the use cases of cross-carrier scheduling, e.g. latency sensitive traffic would not work well in such case.</w:t>
      </w:r>
    </w:p>
    <w:p>
      <w:pPr>
        <w:pStyle w:val="138"/>
        <w:rPr>
          <w:lang w:eastAsia="zh-CN"/>
        </w:rPr>
      </w:pPr>
      <w:r>
        <w:rPr>
          <w:lang w:eastAsia="zh-CN"/>
        </w:rPr>
        <w:t>Due to the QCL threshold, t</w:t>
      </w:r>
      <w:r>
        <w:rPr>
          <w:rFonts w:hint="eastAsia"/>
          <w:lang w:eastAsia="zh-CN"/>
        </w:rPr>
        <w:t>he scheduling timing offset for cross-carrier scheduling is at least 7 symbols for the scheduled carrier of 60 KHz SCS and 14 symbols for the scheduled carrier of 120 KHz.</w:t>
      </w:r>
    </w:p>
    <w:p>
      <w:pPr>
        <w:pStyle w:val="3"/>
        <w:rPr>
          <w:szCs w:val="22"/>
          <w:lang w:val="en-US" w:eastAsia="zh-CN"/>
        </w:rPr>
      </w:pPr>
      <w:r>
        <w:rPr>
          <w:rFonts w:hint="eastAsia"/>
          <w:szCs w:val="22"/>
          <w:lang w:val="en-US" w:eastAsia="zh-CN"/>
        </w:rPr>
        <w:t>Solutions</w:t>
      </w:r>
    </w:p>
    <w:p>
      <w:pPr>
        <w:rPr>
          <w:sz w:val="21"/>
          <w:szCs w:val="22"/>
          <w:lang w:eastAsia="zh-CN"/>
        </w:rPr>
      </w:pPr>
      <w:r>
        <w:rPr>
          <w:rFonts w:hint="eastAsia"/>
          <w:sz w:val="21"/>
          <w:szCs w:val="22"/>
          <w:lang w:eastAsia="zh-CN"/>
        </w:rPr>
        <w:t>In order to further decrease and even eliminate the scheduling timing offset for cross-carrier scheduling, the QCL determination mechanism in Rel-15 as mentioned above could be further improved in Rel-16.</w:t>
      </w:r>
    </w:p>
    <w:p>
      <w:pPr>
        <w:rPr>
          <w:sz w:val="21"/>
          <w:szCs w:val="22"/>
          <w:lang w:eastAsia="zh-CN"/>
        </w:rPr>
      </w:pPr>
      <w:r>
        <w:rPr>
          <w:rFonts w:hint="eastAsia"/>
          <w:sz w:val="21"/>
          <w:szCs w:val="22"/>
          <w:lang w:eastAsia="zh-CN"/>
        </w:rPr>
        <w:t xml:space="preserve">As we discussed in the formal email discussion in RAN1#95 </w:t>
      </w:r>
      <w:r>
        <w:rPr>
          <w:rFonts w:hint="eastAsia"/>
          <w:sz w:val="21"/>
          <w:szCs w:val="22"/>
          <w:lang w:eastAsia="zh-CN"/>
        </w:rPr>
        <w:fldChar w:fldCharType="begin"/>
      </w:r>
      <w:r>
        <w:rPr>
          <w:rFonts w:hint="eastAsia"/>
          <w:sz w:val="21"/>
          <w:szCs w:val="22"/>
          <w:lang w:eastAsia="zh-CN"/>
        </w:rPr>
        <w:instrText xml:space="preserve"> REF _Ref20929 \n \h </w:instrText>
      </w:r>
      <w:r>
        <w:rPr>
          <w:rFonts w:hint="eastAsia"/>
          <w:sz w:val="21"/>
          <w:szCs w:val="22"/>
          <w:lang w:eastAsia="zh-CN"/>
        </w:rPr>
        <w:fldChar w:fldCharType="separate"/>
      </w:r>
      <w:r>
        <w:rPr>
          <w:sz w:val="21"/>
          <w:szCs w:val="22"/>
          <w:lang w:eastAsia="zh-CN"/>
        </w:rPr>
        <w:t>[7]</w:t>
      </w:r>
      <w:r>
        <w:rPr>
          <w:rFonts w:hint="eastAsia"/>
          <w:sz w:val="21"/>
          <w:szCs w:val="22"/>
          <w:lang w:eastAsia="zh-CN"/>
        </w:rPr>
        <w:fldChar w:fldCharType="end"/>
      </w:r>
      <w:r>
        <w:rPr>
          <w:rFonts w:hint="eastAsia"/>
          <w:sz w:val="21"/>
          <w:szCs w:val="22"/>
          <w:lang w:eastAsia="zh-CN"/>
        </w:rPr>
        <w:t xml:space="preserve">, three options from different companies are proposed to figure out the QCL determination for cross-carrier scheduling, i.e., </w:t>
      </w:r>
    </w:p>
    <w:tbl>
      <w:tblPr>
        <w:tblStyle w:val="5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854" w:type="dxa"/>
          </w:tcPr>
          <w:p>
            <w:pPr>
              <w:spacing w:before="120" w:line="280" w:lineRule="atLeast"/>
              <w:rPr>
                <w:rFonts w:ascii="New York" w:hAnsi="New York"/>
                <w:sz w:val="21"/>
                <w:szCs w:val="22"/>
                <w:lang w:eastAsia="zh-CN"/>
              </w:rPr>
            </w:pPr>
            <w:r>
              <w:rPr>
                <w:rFonts w:ascii="New York" w:hAnsi="New York"/>
                <w:b/>
                <w:bCs/>
                <w:sz w:val="21"/>
                <w:szCs w:val="22"/>
                <w:lang w:eastAsia="zh-CN"/>
              </w:rPr>
              <w:t>TCI Option 1</w:t>
            </w:r>
            <w:r>
              <w:rPr>
                <w:rFonts w:ascii="New York" w:hAnsi="New York"/>
                <w:sz w:val="21"/>
                <w:szCs w:val="22"/>
                <w:lang w:eastAsia="zh-CN"/>
              </w:rPr>
              <w:t>: If the scheduling timing offset is smaller than the threshold, or if tci-PresentInDCI is not enabled for DCI format 1_1, the default QCL assumption for PDSCH in case of cross-carrier scheduling is based on dummy CORESET configured in the active BWP of the scheduled cell</w:t>
            </w:r>
          </w:p>
          <w:p>
            <w:pPr>
              <w:spacing w:before="120" w:line="280" w:lineRule="atLeast"/>
              <w:rPr>
                <w:rFonts w:ascii="New York" w:hAnsi="New York"/>
                <w:sz w:val="21"/>
                <w:szCs w:val="22"/>
                <w:lang w:eastAsia="zh-CN"/>
              </w:rPr>
            </w:pPr>
            <w:r>
              <w:rPr>
                <w:rFonts w:ascii="New York" w:hAnsi="New York"/>
                <w:b/>
                <w:bCs/>
                <w:sz w:val="21"/>
                <w:szCs w:val="22"/>
                <w:lang w:eastAsia="zh-CN"/>
              </w:rPr>
              <w:t>TCI Option 2</w:t>
            </w:r>
            <w:r>
              <w:rPr>
                <w:rFonts w:ascii="New York" w:hAnsi="New York"/>
                <w:sz w:val="21"/>
                <w:szCs w:val="22"/>
                <w:lang w:eastAsia="zh-CN"/>
              </w:rPr>
              <w:t>: If the scheduling timing offset is smaller than the threshold , or if tci-PresentInDCI is not enabled for DCI format 1_1, default QCL assumption for PDSCH in case of cross-carrier scheduling is based on the TCI-state with the lowest ID applicable to PDSCH in the active BWP of the scheduled cell</w:t>
            </w:r>
          </w:p>
          <w:p>
            <w:pPr>
              <w:spacing w:before="120" w:line="280" w:lineRule="atLeast"/>
              <w:rPr>
                <w:rFonts w:ascii="New York" w:hAnsi="New York"/>
                <w:sz w:val="21"/>
                <w:szCs w:val="22"/>
                <w:lang w:eastAsia="zh-CN"/>
              </w:rPr>
            </w:pPr>
            <w:r>
              <w:rPr>
                <w:rFonts w:ascii="New York" w:hAnsi="New York"/>
                <w:b/>
                <w:bCs/>
                <w:sz w:val="21"/>
                <w:szCs w:val="22"/>
                <w:lang w:eastAsia="zh-CN"/>
              </w:rPr>
              <w:t>TCI Option 3</w:t>
            </w:r>
            <w:r>
              <w:rPr>
                <w:rFonts w:ascii="New York" w:hAnsi="New York"/>
                <w:sz w:val="21"/>
                <w:szCs w:val="22"/>
                <w:lang w:eastAsia="zh-CN"/>
              </w:rPr>
              <w:t>: For cross-carrier scheduling with tci-PresentInDCI being enabled for a DCI format 1_1, or if tci-PresentInDCI is not enabled for DCI format 1_1, the scheduling timing offset cannot be smaller than the threshold</w:t>
            </w:r>
          </w:p>
          <w:p>
            <w:pPr>
              <w:spacing w:before="120" w:line="280" w:lineRule="atLeast"/>
              <w:ind w:firstLine="420" w:firstLineChars="200"/>
              <w:rPr>
                <w:rFonts w:ascii="New York" w:hAnsi="New York"/>
                <w:sz w:val="21"/>
                <w:szCs w:val="22"/>
                <w:lang w:eastAsia="zh-CN"/>
              </w:rPr>
            </w:pPr>
            <w:r>
              <w:rPr>
                <w:rFonts w:ascii="New York" w:hAnsi="New York"/>
                <w:sz w:val="21"/>
                <w:szCs w:val="22"/>
                <w:lang w:eastAsia="zh-CN"/>
              </w:rPr>
              <w:t>• Tci-PresentInDCI has to be always enabled for cross-carrier scheduling</w:t>
            </w:r>
          </w:p>
        </w:tc>
      </w:tr>
    </w:tbl>
    <w:p>
      <w:pPr>
        <w:rPr>
          <w:sz w:val="21"/>
          <w:szCs w:val="22"/>
          <w:lang w:eastAsia="zh-CN"/>
        </w:rPr>
      </w:pPr>
    </w:p>
    <w:p>
      <w:pPr>
        <w:rPr>
          <w:sz w:val="21"/>
          <w:szCs w:val="22"/>
          <w:lang w:eastAsia="zh-CN"/>
        </w:rPr>
      </w:pPr>
      <w:r>
        <w:rPr>
          <w:rFonts w:hint="eastAsia"/>
          <w:sz w:val="21"/>
          <w:szCs w:val="22"/>
          <w:lang w:eastAsia="zh-CN"/>
        </w:rPr>
        <w:t>TCI Option 1 and TCI Option 2 offers a default QCL assumption for the cases where the scheduling timing offset is smaller than the threshold, or if tci-PresentInDCI is not enabled for DCI format 1_1. With the default QCL assumption, UE can further decrease and even eliminate the scheduling timing offset for cross-carrier scheduling.</w:t>
      </w:r>
    </w:p>
    <w:p>
      <w:pPr>
        <w:pStyle w:val="128"/>
      </w:pPr>
      <w:r>
        <w:rPr>
          <w:rFonts w:eastAsia="宋体"/>
          <w:lang w:eastAsia="zh-CN"/>
        </w:rPr>
        <w:t xml:space="preserve">To </w:t>
      </w:r>
      <w:r>
        <w:rPr>
          <w:rFonts w:hint="eastAsia" w:eastAsia="宋体"/>
          <w:lang w:eastAsia="zh-CN"/>
        </w:rPr>
        <w:t xml:space="preserve">decrease or even eliminate the scheduling timing offset for cross-carrier scheduling, </w:t>
      </w:r>
      <w:r>
        <w:rPr>
          <w:rFonts w:eastAsia="宋体"/>
          <w:lang w:eastAsia="zh-CN"/>
        </w:rPr>
        <w:t xml:space="preserve">adopt </w:t>
      </w:r>
      <w:r>
        <w:rPr>
          <w:rFonts w:hint="eastAsia" w:eastAsia="宋体"/>
          <w:lang w:eastAsia="zh-CN"/>
        </w:rPr>
        <w:t xml:space="preserve">TCI Option 1 or TCI Option 2 </w:t>
      </w:r>
      <w:r>
        <w:rPr>
          <w:rFonts w:eastAsia="宋体"/>
          <w:lang w:eastAsia="zh-CN"/>
        </w:rPr>
        <w:t>for QCL-Type-D determination when s</w:t>
      </w:r>
      <w:r>
        <w:rPr>
          <w:sz w:val="21"/>
          <w:szCs w:val="22"/>
          <w:lang w:eastAsia="zh-CN"/>
        </w:rPr>
        <w:t xml:space="preserve">cheduling timing offset is smaller than the threshold </w:t>
      </w:r>
      <w:r>
        <w:rPr>
          <w:color w:val="000000"/>
        </w:rPr>
        <w:t>Threshold-Sched-Offset</w:t>
      </w:r>
      <w:r>
        <w:rPr>
          <w:sz w:val="21"/>
          <w:szCs w:val="22"/>
          <w:lang w:eastAsia="zh-CN"/>
        </w:rPr>
        <w:t xml:space="preserve">. </w:t>
      </w:r>
      <w:r>
        <w:rPr>
          <w:rFonts w:hint="eastAsia" w:eastAsia="宋体"/>
          <w:lang w:eastAsia="zh-CN"/>
        </w:rPr>
        <w:t>.</w:t>
      </w:r>
    </w:p>
    <w:p>
      <w:pPr>
        <w:snapToGrid w:val="0"/>
        <w:spacing w:before="120" w:beforeLines="50" w:after="120" w:afterLines="50"/>
      </w:pPr>
      <w:r>
        <w:rPr>
          <w:rFonts w:hint="eastAsia"/>
        </w:rPr>
        <w:t xml:space="preserve">For the </w:t>
      </w:r>
      <w:r>
        <w:rPr>
          <w:rFonts w:hint="eastAsia"/>
          <w:lang w:eastAsia="zh-CN"/>
        </w:rPr>
        <w:t>self-</w:t>
      </w:r>
      <w:r>
        <w:rPr>
          <w:rFonts w:hint="eastAsia"/>
        </w:rPr>
        <w:t xml:space="preserve">scheduling, PDSCH and its PDCCH can be </w:t>
      </w:r>
      <w:r>
        <w:t>quasi co-locat</w:t>
      </w:r>
      <w:r>
        <w:rPr>
          <w:rFonts w:hint="eastAsia"/>
        </w:rPr>
        <w:t xml:space="preserve">ed </w:t>
      </w:r>
      <w:r>
        <w:t>w.r.t.</w:t>
      </w:r>
      <w:r>
        <w:rPr>
          <w:rFonts w:hint="eastAsia"/>
        </w:rPr>
        <w:t xml:space="preserve"> all QCL parameters. However, for cross-CC scheduling as shown in </w:t>
      </w:r>
      <w:r>
        <w:fldChar w:fldCharType="begin"/>
      </w:r>
      <w:r>
        <w:instrText xml:space="preserve"> REF _Ref23673 \h </w:instrText>
      </w:r>
      <w:r>
        <w:fldChar w:fldCharType="separate"/>
      </w:r>
      <w:r>
        <w:rPr>
          <w:b/>
          <w:bCs/>
        </w:rPr>
        <w:t>Figure 2</w:t>
      </w:r>
      <w:r>
        <w:fldChar w:fldCharType="end"/>
      </w:r>
      <w:r>
        <w:rPr>
          <w:rFonts w:hint="eastAsia"/>
        </w:rPr>
        <w:t xml:space="preserve">, PDSCH and CORESET of PDCCH </w:t>
      </w:r>
      <w:r>
        <w:t>may not</w:t>
      </w:r>
      <w:r>
        <w:rPr>
          <w:rFonts w:hint="eastAsia"/>
        </w:rPr>
        <w:t xml:space="preserve"> be </w:t>
      </w:r>
      <w:r>
        <w:t>quasi co-locat</w:t>
      </w:r>
      <w:r>
        <w:rPr>
          <w:rFonts w:hint="eastAsia"/>
        </w:rPr>
        <w:t>ed</w:t>
      </w:r>
      <w:r>
        <w:t xml:space="preserve"> w.r.t.</w:t>
      </w:r>
      <w:r>
        <w:rPr>
          <w:rFonts w:hint="eastAsia"/>
        </w:rPr>
        <w:t xml:space="preserve"> Doppler shift, Doppler spread, average delay, delay spread because different CCs </w:t>
      </w:r>
      <w:r>
        <w:t>may have different channel properties due to a large frequency gap between CCs</w:t>
      </w:r>
      <w:r>
        <w:rPr>
          <w:rFonts w:hint="eastAsia"/>
        </w:rPr>
        <w:t>.</w:t>
      </w:r>
      <w:r>
        <w:t xml:space="preserve"> Degradation is expected if multiple CCs share the same QCL parameters. Regarding the spatial Rx parameter, it can be okay since multiple CCs may need to share the same receive beam anyway. </w:t>
      </w:r>
      <w:r>
        <w:rPr>
          <w:rFonts w:hint="eastAsia"/>
        </w:rPr>
        <w:t xml:space="preserve">In other words, only QCL-TypeD of PDCCH can be used for PDSCH in the case of cross-CC scheduling. </w:t>
      </w:r>
    </w:p>
    <w:p>
      <w:pPr>
        <w:snapToGrid w:val="0"/>
        <w:spacing w:before="120" w:beforeLines="50" w:after="120" w:afterLines="50"/>
        <w:rPr>
          <w:lang w:eastAsia="zh-CN"/>
        </w:rPr>
      </w:pPr>
      <w:r>
        <w:rPr>
          <w:rFonts w:hint="eastAsia"/>
          <w:lang w:eastAsia="zh-CN"/>
        </w:rPr>
        <w:t xml:space="preserve">Furthermore, UE needs some time to determine and apply spatial QCL information for corresponding PDSCH reception. While for all the QCL assumptions </w:t>
      </w:r>
      <w:r>
        <w:t>other than QCL-TypeD</w:t>
      </w:r>
      <w:r>
        <w:rPr>
          <w:rFonts w:hint="eastAsia"/>
          <w:lang w:eastAsia="zh-CN"/>
        </w:rPr>
        <w:t xml:space="preserve">, which are mainly used in the baseband processing, UE is allowed to receive the PDSCH and determine &amp; apply QCL assumptions other than </w:t>
      </w:r>
      <w:r>
        <w:t>QCL-TypeD</w:t>
      </w:r>
      <w:r>
        <w:rPr>
          <w:lang w:eastAsia="zh-CN"/>
        </w:rPr>
        <w:t xml:space="preserve"> after the PDSCH reception</w:t>
      </w:r>
      <w:r>
        <w:rPr>
          <w:rFonts w:hint="eastAsia"/>
          <w:lang w:eastAsia="zh-CN"/>
        </w:rPr>
        <w:t>.</w:t>
      </w:r>
    </w:p>
    <w:p>
      <w:pPr>
        <w:snapToGrid w:val="0"/>
        <w:spacing w:before="120" w:beforeLines="50" w:after="120" w:afterLines="50"/>
      </w:pPr>
      <w:r>
        <w:rPr>
          <w:rFonts w:hint="eastAsia"/>
          <w:lang w:eastAsia="zh-CN"/>
        </w:rPr>
        <w:t>Thus, w</w:t>
      </w:r>
      <w:r>
        <w:rPr>
          <w:rFonts w:hint="eastAsia"/>
        </w:rPr>
        <w:t xml:space="preserve">hen TCI field is present in DCI for cross-CC scheduling, if </w:t>
      </w:r>
      <w:r>
        <w:t xml:space="preserve">the time offset between the reception of the DL DCI and the corresponding PDSCH is </w:t>
      </w:r>
      <w:r>
        <w:rPr>
          <w:rFonts w:hint="eastAsia"/>
        </w:rPr>
        <w:t>smaller</w:t>
      </w:r>
      <w:r>
        <w:t xml:space="preserve"> than a threshold </w:t>
      </w:r>
      <w:r>
        <w:rPr>
          <w:i/>
          <w:iCs/>
        </w:rPr>
        <w:t>Threshold-Sched-Offset</w:t>
      </w:r>
      <w:r>
        <w:rPr>
          <w:rFonts w:hint="eastAsia"/>
        </w:rPr>
        <w:t xml:space="preserve">, UE can still obtain </w:t>
      </w:r>
      <w:r>
        <w:t>the QCL assumptions other than QCL-TypeD from</w:t>
      </w:r>
      <w:r>
        <w:rPr>
          <w:rFonts w:hint="eastAsia"/>
        </w:rPr>
        <w:t xml:space="preserve"> the indicated TCI state in </w:t>
      </w:r>
      <w:r>
        <w:rPr>
          <w:rFonts w:hint="eastAsia"/>
          <w:i/>
          <w:iCs/>
        </w:rPr>
        <w:t xml:space="preserve">DCI </w:t>
      </w:r>
      <w:r>
        <w:rPr>
          <w:rFonts w:hint="eastAsia"/>
        </w:rPr>
        <w:t xml:space="preserve">for the PDSCH. </w:t>
      </w:r>
      <w:r>
        <w:t>The QCL assumptions based on DCI indication can be more updated.</w:t>
      </w:r>
    </w:p>
    <w:p>
      <w:pPr>
        <w:snapToGrid w:val="0"/>
        <w:spacing w:before="120" w:beforeLines="50" w:after="120" w:afterLines="50"/>
      </w:pPr>
    </w:p>
    <w:p>
      <w:pPr>
        <w:snapToGrid w:val="0"/>
        <w:spacing w:before="120" w:beforeLines="50" w:after="120" w:afterLines="50"/>
        <w:jc w:val="center"/>
        <w:rPr>
          <w:lang w:val="en-GB"/>
        </w:rPr>
      </w:pPr>
      <w:r>
        <w:rPr>
          <w:lang w:eastAsia="zh-CN"/>
        </w:rPr>
        <w:drawing>
          <wp:inline distT="0" distB="0" distL="114300" distR="114300">
            <wp:extent cx="3782695" cy="1715135"/>
            <wp:effectExtent l="0" t="0" r="8255" b="18415"/>
            <wp:docPr id="1"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0"/>
                    <pic:cNvPicPr>
                      <a:picLocks noChangeAspect="1"/>
                    </pic:cNvPicPr>
                  </pic:nvPicPr>
                  <pic:blipFill>
                    <a:blip r:embed="rId8"/>
                    <a:stretch>
                      <a:fillRect/>
                    </a:stretch>
                  </pic:blipFill>
                  <pic:spPr>
                    <a:xfrm>
                      <a:off x="0" y="0"/>
                      <a:ext cx="3782695" cy="1715135"/>
                    </a:xfrm>
                    <a:prstGeom prst="rect">
                      <a:avLst/>
                    </a:prstGeom>
                    <a:noFill/>
                    <a:ln w="9525">
                      <a:noFill/>
                    </a:ln>
                  </pic:spPr>
                </pic:pic>
              </a:graphicData>
            </a:graphic>
          </wp:inline>
        </w:drawing>
      </w:r>
    </w:p>
    <w:p>
      <w:pPr>
        <w:pStyle w:val="30"/>
        <w:snapToGrid w:val="0"/>
        <w:spacing w:beforeLines="50" w:afterLines="50"/>
        <w:jc w:val="center"/>
        <w:rPr>
          <w:sz w:val="21"/>
          <w:szCs w:val="22"/>
          <w:lang w:eastAsia="zh-CN"/>
        </w:rPr>
      </w:pPr>
      <w:bookmarkStart w:id="6" w:name="_Ref23673"/>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2</w:t>
      </w:r>
      <w:r>
        <w:rPr>
          <w:b w:val="0"/>
          <w:bCs w:val="0"/>
        </w:rPr>
        <w:fldChar w:fldCharType="end"/>
      </w:r>
      <w:bookmarkEnd w:id="6"/>
      <w:r>
        <w:rPr>
          <w:rFonts w:hint="eastAsia"/>
          <w:b w:val="0"/>
          <w:bCs w:val="0"/>
          <w:lang w:eastAsia="zh-CN"/>
        </w:rPr>
        <w:t xml:space="preserve"> </w:t>
      </w:r>
      <w:r>
        <w:rPr>
          <w:rFonts w:hint="eastAsia"/>
          <w:b w:val="0"/>
          <w:bCs w:val="0"/>
          <w:lang w:val="en-GB"/>
        </w:rPr>
        <w:t>Cross-</w:t>
      </w:r>
      <w:r>
        <w:rPr>
          <w:rFonts w:hint="eastAsia"/>
          <w:b w:val="0"/>
          <w:bCs w:val="0"/>
          <w:lang w:eastAsia="zh-CN"/>
        </w:rPr>
        <w:t>carrier</w:t>
      </w:r>
      <w:r>
        <w:rPr>
          <w:rFonts w:hint="eastAsia"/>
          <w:b w:val="0"/>
          <w:bCs w:val="0"/>
          <w:lang w:val="en-GB"/>
        </w:rPr>
        <w:t xml:space="preserve"> scheduling</w:t>
      </w:r>
    </w:p>
    <w:p>
      <w:pPr>
        <w:pStyle w:val="128"/>
      </w:pPr>
      <w:r>
        <w:rPr>
          <w:rFonts w:hint="eastAsia"/>
        </w:rPr>
        <w:t>When</w:t>
      </w:r>
      <w:r>
        <w:t xml:space="preserve"> PDSCH and its scheduling PDCCH are in the different </w:t>
      </w:r>
      <w:r>
        <w:rPr>
          <w:rFonts w:hint="eastAsia"/>
        </w:rPr>
        <w:t xml:space="preserve">CCs, </w:t>
      </w:r>
    </w:p>
    <w:p>
      <w:pPr>
        <w:pStyle w:val="128"/>
        <w:numPr>
          <w:ilvl w:val="0"/>
          <w:numId w:val="0"/>
        </w:numPr>
      </w:pPr>
      <w:r>
        <w:t>I</w:t>
      </w:r>
      <w:r>
        <w:rPr>
          <w:rFonts w:hint="eastAsia"/>
        </w:rPr>
        <w:t>f TCI field</w:t>
      </w:r>
      <w:r>
        <w:t xml:space="preserve"> is </w:t>
      </w:r>
      <w:r>
        <w:rPr>
          <w:rFonts w:hint="eastAsia"/>
        </w:rPr>
        <w:t xml:space="preserve">present in DCI and </w:t>
      </w:r>
      <w:r>
        <w:t xml:space="preserve">the time offset between the reception of the DL DCI and the corresponding PDSCH is </w:t>
      </w:r>
      <w:r>
        <w:rPr>
          <w:rFonts w:hint="eastAsia"/>
        </w:rPr>
        <w:t>smaller</w:t>
      </w:r>
      <w:r>
        <w:t xml:space="preserve"> than a threshold Threshold-Sched-Offset</w:t>
      </w:r>
      <w:r>
        <w:rPr>
          <w:rFonts w:hint="eastAsia"/>
        </w:rPr>
        <w:t xml:space="preserve">, UE </w:t>
      </w:r>
      <w:r>
        <w:t>obtains the QCL assumptions other than QCL-TypeD from</w:t>
      </w:r>
      <w:r>
        <w:rPr>
          <w:rFonts w:hint="eastAsia"/>
        </w:rPr>
        <w:t xml:space="preserve"> the indicated TCI state in DCI for the PDSCH.</w:t>
      </w:r>
    </w:p>
    <w:p>
      <w:pPr>
        <w:rPr>
          <w:sz w:val="21"/>
          <w:szCs w:val="22"/>
          <w:lang w:eastAsia="zh-CN"/>
        </w:rPr>
      </w:pPr>
    </w:p>
    <w:p>
      <w:pPr>
        <w:pStyle w:val="2"/>
        <w:rPr>
          <w:lang w:eastAsia="zh-CN"/>
        </w:rPr>
      </w:pPr>
      <w:r>
        <w:rPr>
          <w:lang w:eastAsia="zh-CN"/>
        </w:rPr>
        <w:t>Other issues</w:t>
      </w:r>
    </w:p>
    <w:p>
      <w:pPr>
        <w:pStyle w:val="3"/>
        <w:rPr>
          <w:lang w:val="en-US" w:eastAsia="zh-CN"/>
        </w:rPr>
      </w:pPr>
      <w:r>
        <w:rPr>
          <w:rFonts w:hint="eastAsia"/>
          <w:lang w:eastAsia="zh-CN"/>
        </w:rPr>
        <w:t>N</w:t>
      </w:r>
      <w:r>
        <w:rPr>
          <w:lang w:eastAsia="zh-CN"/>
        </w:rPr>
        <w:t>umber of valid scheduling DCI capacity</w:t>
      </w:r>
    </w:p>
    <w:p>
      <w:pPr>
        <w:rPr>
          <w:lang w:eastAsia="zh-CN"/>
        </w:rPr>
      </w:pPr>
      <w:r>
        <w:rPr>
          <w:rFonts w:hint="eastAsia"/>
          <w:lang w:eastAsia="zh-CN"/>
        </w:rPr>
        <w:t xml:space="preserve">Some companies </w:t>
      </w:r>
      <w:r>
        <w:rPr>
          <w:rFonts w:hint="eastAsia"/>
          <w:lang w:eastAsia="zh-CN"/>
        </w:rPr>
        <w:fldChar w:fldCharType="begin"/>
      </w:r>
      <w:r>
        <w:rPr>
          <w:rFonts w:hint="eastAsia"/>
          <w:lang w:eastAsia="zh-CN"/>
        </w:rPr>
        <w:instrText xml:space="preserve"> REF _Ref21804 \n \h </w:instrText>
      </w:r>
      <w:r>
        <w:rPr>
          <w:rFonts w:hint="eastAsia"/>
          <w:lang w:eastAsia="zh-CN"/>
        </w:rPr>
        <w:fldChar w:fldCharType="separate"/>
      </w:r>
      <w:r>
        <w:rPr>
          <w:lang w:eastAsia="zh-CN"/>
        </w:rPr>
        <w:t>[9]</w:t>
      </w:r>
      <w:r>
        <w:rPr>
          <w:rFonts w:hint="eastAsia"/>
          <w:lang w:eastAsia="zh-CN"/>
        </w:rPr>
        <w:fldChar w:fldCharType="end"/>
      </w:r>
      <w:r>
        <w:rPr>
          <w:rFonts w:hint="eastAsia"/>
          <w:lang w:eastAsia="zh-CN"/>
        </w:rPr>
        <w:t xml:space="preserve"> proposed in Rel-15 to limit the number of valid scheduling DCI capacity in case that one CC with smaller numerology schedules several CCs with larger numerologies.</w:t>
      </w:r>
    </w:p>
    <w:p>
      <w:pPr>
        <w:rPr>
          <w:lang w:eastAsia="zh-CN"/>
        </w:rPr>
      </w:pPr>
      <w:r>
        <w:rPr>
          <w:rFonts w:hint="eastAsia"/>
          <w:lang w:eastAsia="zh-CN"/>
        </w:rPr>
        <w:t>While from our point view, as the number of valid scheduling DCI capacity is not limited in Rel-15 and the Rel-16 UE is envisioned to be more powerful than the Rel-15 one, it</w:t>
      </w:r>
      <w:r>
        <w:rPr>
          <w:lang w:eastAsia="zh-CN"/>
        </w:rPr>
        <w:t>’</w:t>
      </w:r>
      <w:r>
        <w:rPr>
          <w:rFonts w:hint="eastAsia"/>
          <w:lang w:eastAsia="zh-CN"/>
        </w:rPr>
        <w:t>s no need to limit the number of valid scheduling DCI capacity in Rel-16.</w:t>
      </w:r>
    </w:p>
    <w:p>
      <w:pPr>
        <w:pStyle w:val="138"/>
      </w:pPr>
      <w:r>
        <w:rPr>
          <w:rFonts w:hint="eastAsia"/>
        </w:rPr>
        <w:t>There is no agreement in Rel-15 to limit the number of valid scheduling DCI capacity in Rel-15. The Rel-16 UE is envisioned to be more powerful than the Rel-15 one. Thus, it</w:t>
      </w:r>
      <w:r>
        <w:t>’</w:t>
      </w:r>
      <w:r>
        <w:rPr>
          <w:rFonts w:hint="eastAsia"/>
        </w:rPr>
        <w:t>s no need to limit the number of valid scheduling DCI capacity in Rel-16.</w:t>
      </w:r>
    </w:p>
    <w:p>
      <w:pPr>
        <w:pStyle w:val="3"/>
        <w:rPr>
          <w:lang w:eastAsia="zh-CN"/>
        </w:rPr>
      </w:pPr>
      <w:r>
        <w:rPr>
          <w:lang w:eastAsia="zh-CN"/>
        </w:rPr>
        <w:t xml:space="preserve">UE processing </w:t>
      </w:r>
      <w:r>
        <w:rPr>
          <w:rFonts w:hint="eastAsia"/>
          <w:lang w:val="en-US" w:eastAsia="zh-CN"/>
        </w:rPr>
        <w:t>C</w:t>
      </w:r>
      <w:r>
        <w:rPr>
          <w:lang w:eastAsia="zh-CN"/>
        </w:rPr>
        <w:t>apability#2</w:t>
      </w:r>
    </w:p>
    <w:p>
      <w:pPr>
        <w:rPr>
          <w:lang w:eastAsia="zh-CN"/>
        </w:rPr>
      </w:pPr>
      <w:r>
        <w:rPr>
          <w:rFonts w:hint="eastAsia"/>
          <w:lang w:eastAsia="zh-CN"/>
        </w:rPr>
        <w:t xml:space="preserve">As we can see from the latest UE feature list </w:t>
      </w:r>
      <w:r>
        <w:rPr>
          <w:rFonts w:hint="eastAsia"/>
          <w:lang w:eastAsia="zh-CN"/>
        </w:rPr>
        <w:fldChar w:fldCharType="begin"/>
      </w:r>
      <w:r>
        <w:rPr>
          <w:rFonts w:hint="eastAsia"/>
          <w:lang w:eastAsia="zh-CN"/>
        </w:rPr>
        <w:instrText xml:space="preserve"> REF _Ref9794 \n \h </w:instrText>
      </w:r>
      <w:r>
        <w:rPr>
          <w:rFonts w:hint="eastAsia"/>
          <w:lang w:eastAsia="zh-CN"/>
        </w:rPr>
        <w:fldChar w:fldCharType="separate"/>
      </w:r>
      <w:r>
        <w:rPr>
          <w:lang w:eastAsia="zh-CN"/>
        </w:rPr>
        <w:t>[8]</w:t>
      </w:r>
      <w:r>
        <w:rPr>
          <w:rFonts w:hint="eastAsia"/>
          <w:lang w:eastAsia="zh-CN"/>
        </w:rPr>
        <w:fldChar w:fldCharType="end"/>
      </w:r>
      <w:r>
        <w:rPr>
          <w:rFonts w:hint="eastAsia"/>
          <w:lang w:eastAsia="zh-CN"/>
        </w:rPr>
        <w:t>, all the values of UE processing Capability#2 are assuming all carriers are self-scheduled and all Capability #2 carriers in a band are of the same numerology.</w:t>
      </w:r>
    </w:p>
    <w:p>
      <w:pPr>
        <w:rPr>
          <w:lang w:eastAsia="zh-CN"/>
        </w:rPr>
      </w:pPr>
      <w:r>
        <w:rPr>
          <w:rFonts w:hint="eastAsia"/>
          <w:lang w:eastAsia="zh-CN"/>
        </w:rPr>
        <w:t xml:space="preserve">Now, this WI is trying to finalize and further enhance the cross-carrier scheduling, the values of </w:t>
      </w:r>
      <w:bookmarkStart w:id="7" w:name="OLE_LINK2"/>
      <w:r>
        <w:rPr>
          <w:rFonts w:hint="eastAsia"/>
          <w:lang w:eastAsia="zh-CN"/>
        </w:rPr>
        <w:t>UE processing Capability#2 with cross-carrier scheduling need to be determined.</w:t>
      </w:r>
      <w:bookmarkEnd w:id="7"/>
    </w:p>
    <w:p>
      <w:pPr>
        <w:pStyle w:val="138"/>
      </w:pPr>
      <w:r>
        <w:rPr>
          <w:rFonts w:hint="eastAsia"/>
        </w:rPr>
        <w:t>The values of UE processing Capability#2 with cross-carrier scheduling need to be determined in Rel-16.</w:t>
      </w:r>
    </w:p>
    <w:p>
      <w:pPr>
        <w:pStyle w:val="2"/>
      </w:pPr>
      <w:r>
        <w:t>Conclusion</w:t>
      </w:r>
    </w:p>
    <w:p>
      <w:pPr>
        <w:rPr>
          <w:lang w:val="en-GB" w:eastAsia="zh-CN"/>
        </w:rPr>
      </w:pPr>
      <w:r>
        <w:rPr>
          <w:lang w:val="en-GB" w:eastAsia="zh-CN"/>
        </w:rPr>
        <w:t>In this contribution, we present the background information, current status and our proposals for each remaining issues related to cross-carrier scheduling with mixed numerologies. To sum up, the following proposals are made, i.e.,</w:t>
      </w:r>
    </w:p>
    <w:p>
      <w:pPr>
        <w:rPr>
          <w:u w:val="single"/>
          <w:lang w:val="en-GB" w:eastAsia="zh-CN"/>
        </w:rPr>
      </w:pPr>
      <w:r>
        <w:rPr>
          <w:u w:val="single"/>
          <w:lang w:val="en-GB" w:eastAsia="zh-CN"/>
        </w:rPr>
        <w:t>BD/CCE</w:t>
      </w:r>
    </w:p>
    <w:p>
      <w:pPr>
        <w:pStyle w:val="128"/>
        <w:numPr>
          <w:ilvl w:val="0"/>
          <w:numId w:val="13"/>
        </w:numPr>
        <w:rPr>
          <w:lang w:val="en-GB"/>
        </w:rPr>
      </w:pPr>
    </w:p>
    <w:p>
      <w:pPr>
        <w:pStyle w:val="111"/>
        <w:numPr>
          <w:ilvl w:val="0"/>
          <w:numId w:val="10"/>
        </w:numPr>
        <w:spacing w:after="200" w:line="276" w:lineRule="auto"/>
        <w:rPr>
          <w:i/>
          <w:lang w:eastAsia="ja-JP"/>
        </w:rPr>
      </w:pPr>
      <w:r>
        <w:rPr>
          <w:rFonts w:hint="eastAsia"/>
          <w:i/>
          <w:lang w:eastAsia="ja-JP"/>
        </w:rPr>
        <w:t>For c</w:t>
      </w:r>
      <w:r>
        <w:rPr>
          <w:i/>
          <w:lang w:eastAsia="ja-JP"/>
        </w:rPr>
        <w:t>ross-carrier scheduling with mixed numerologies, and the number of DL-CCs is up to 4 or with up to T DL-CCs where the UE reports BD capability of y &gt;= T</w:t>
      </w:r>
      <w:r>
        <w:rPr>
          <w:rFonts w:hint="eastAsia"/>
          <w:i/>
          <w:lang w:eastAsia="ja-JP"/>
        </w:rPr>
        <w:t>,</w:t>
      </w:r>
    </w:p>
    <w:p>
      <w:pPr>
        <w:pStyle w:val="111"/>
        <w:numPr>
          <w:ilvl w:val="1"/>
          <w:numId w:val="10"/>
        </w:numPr>
        <w:spacing w:after="200" w:line="276" w:lineRule="auto"/>
        <w:rPr>
          <w:i/>
          <w:lang w:eastAsia="ja-JP"/>
        </w:rPr>
      </w:pPr>
      <w:r>
        <w:rPr>
          <w:rFonts w:hint="eastAsia"/>
          <w:i/>
          <w:lang w:eastAsia="ja-JP"/>
        </w:rPr>
        <w:t xml:space="preserve">If there are N scheduling cells where the numerology of the nth scheduling cell is </w:t>
      </w:r>
      <w:r>
        <w:rPr>
          <w:rFonts w:ascii="Symbol" w:hAnsi="Symbol"/>
          <w:i/>
          <w:lang w:eastAsia="ja-JP"/>
        </w:rPr>
        <w:t></w:t>
      </w:r>
      <w:r>
        <w:rPr>
          <w:rFonts w:hint="eastAsia"/>
          <w:i/>
          <w:lang w:eastAsia="ja-JP"/>
        </w:rPr>
        <w:t xml:space="preserve">(n) with n=1~N and </w:t>
      </w:r>
      <w:r>
        <w:rPr>
          <w:rFonts w:ascii="Symbol" w:hAnsi="Symbol"/>
          <w:i/>
          <w:lang w:eastAsia="ja-JP"/>
        </w:rPr>
        <w:t></w:t>
      </w:r>
      <w:r>
        <w:rPr>
          <w:rFonts w:hint="eastAsia"/>
          <w:i/>
          <w:lang w:eastAsia="ja-JP"/>
        </w:rPr>
        <w:t>(n)=0~3, and the n</w:t>
      </w:r>
      <w:r>
        <w:rPr>
          <w:rFonts w:hint="eastAsia"/>
          <w:i/>
          <w:vertAlign w:val="subscript"/>
          <w:lang w:eastAsia="ja-JP"/>
        </w:rPr>
        <w:t>th</w:t>
      </w:r>
      <w:r>
        <w:rPr>
          <w:rFonts w:hint="eastAsia"/>
          <w:i/>
          <w:lang w:eastAsia="ja-JP"/>
        </w:rPr>
        <w:t xml:space="preserve"> scheduling cell has X</w:t>
      </w:r>
      <w:r>
        <w:rPr>
          <w:rFonts w:hint="eastAsia"/>
          <w:i/>
          <w:vertAlign w:val="subscript"/>
          <w:lang w:eastAsia="ja-JP"/>
        </w:rPr>
        <w:t>i</w:t>
      </w:r>
      <w:r>
        <w:rPr>
          <w:rFonts w:hint="eastAsia"/>
          <w:i/>
          <w:lang w:eastAsia="ja-JP"/>
        </w:rPr>
        <w:t>(n) schedulable DL cells with numerology i w</w:t>
      </w:r>
      <w:r>
        <w:rPr>
          <w:i/>
          <w:lang w:eastAsia="ja-JP"/>
        </w:rPr>
        <w:t>here</w:t>
      </w:r>
      <w:r>
        <w:rPr>
          <w:rFonts w:hint="eastAsia"/>
          <w:i/>
          <w:lang w:eastAsia="ja-JP"/>
        </w:rPr>
        <w:t xml:space="preserve"> i=0~3, the limit of BDs/CCEs of the nth scheduling CC per slot is given by </w:t>
      </w:r>
      <m:oMath>
        <m:nary>
          <m:naryPr>
            <m:chr m:val="∑"/>
            <m:limLoc m:val="undOvr"/>
            <m:ctrlPr>
              <w:rPr>
                <w:rFonts w:ascii="Cambria Math" w:hAnsi="Cambria Math"/>
                <w:i/>
                <w:lang w:eastAsia="ja-JP"/>
              </w:rPr>
            </m:ctrlPr>
          </m:naryPr>
          <m:sub>
            <m:r>
              <w:rPr>
                <w:rFonts w:ascii="Cambria Math" w:hAnsi="Cambria Math"/>
                <w:lang w:eastAsia="ja-JP"/>
              </w:rPr>
              <m:t>i=0</m:t>
            </m:r>
            <m:ctrlPr>
              <w:rPr>
                <w:rFonts w:ascii="Cambria Math" w:hAnsi="Cambria Math"/>
                <w:i/>
                <w:lang w:eastAsia="ja-JP"/>
              </w:rPr>
            </m:ctrlPr>
          </m:sub>
          <m:sup>
            <m:r>
              <w:rPr>
                <w:rFonts w:ascii="Cambria Math" w:hAnsi="Cambria Math"/>
                <w:lang w:eastAsia="ja-JP"/>
              </w:rPr>
              <m:t>3</m:t>
            </m:r>
            <m:ctrlPr>
              <w:rPr>
                <w:rFonts w:ascii="Cambria Math" w:hAnsi="Cambria Math"/>
                <w:i/>
                <w:lang w:eastAsia="ja-JP"/>
              </w:rPr>
            </m:ctrlPr>
          </m:sup>
          <m:e>
            <m:sSub>
              <m:sSubPr>
                <m:ctrlPr>
                  <w:rPr>
                    <w:rFonts w:ascii="Cambria Math" w:hAnsi="Cambria Math"/>
                    <w:i/>
                    <w:lang w:eastAsia="ja-JP"/>
                  </w:rPr>
                </m:ctrlPr>
              </m:sSubPr>
              <m:e>
                <m:r>
                  <w:rPr>
                    <w:rFonts w:ascii="Cambria Math" w:hAnsi="Cambria Math"/>
                    <w:lang w:eastAsia="ja-JP"/>
                  </w:rPr>
                  <m:t>X</m:t>
                </m:r>
                <m:ctrlPr>
                  <w:rPr>
                    <w:rFonts w:ascii="Cambria Math" w:hAnsi="Cambria Math"/>
                    <w:i/>
                    <w:lang w:eastAsia="ja-JP"/>
                  </w:rPr>
                </m:ctrlPr>
              </m:e>
              <m:sub>
                <m:r>
                  <w:rPr>
                    <w:rFonts w:ascii="Cambria Math" w:hAnsi="Cambria Math"/>
                    <w:lang w:eastAsia="ja-JP"/>
                  </w:rPr>
                  <m:t>i</m:t>
                </m:r>
                <m:ctrlPr>
                  <w:rPr>
                    <w:rFonts w:ascii="Cambria Math" w:hAnsi="Cambria Math"/>
                    <w:i/>
                    <w:lang w:eastAsia="ja-JP"/>
                  </w:rPr>
                </m:ctrlPr>
              </m:sub>
            </m:sSub>
            <m:r>
              <w:rPr>
                <w:rFonts w:ascii="Cambria Math" w:hAnsi="Cambria Math"/>
                <w:lang w:eastAsia="ja-JP"/>
              </w:rPr>
              <m:t>(n)×(</m:t>
            </m:r>
            <m:sSub>
              <m:sSubPr>
                <m:ctrlPr>
                  <w:rPr>
                    <w:rFonts w:ascii="Cambria Math" w:hAnsi="Cambria Math"/>
                    <w:i/>
                    <w:lang w:eastAsia="ja-JP"/>
                  </w:rPr>
                </m:ctrlPr>
              </m:sSubPr>
              <m:e>
                <m:r>
                  <w:rPr>
                    <w:rFonts w:ascii="Cambria Math" w:hAnsi="Cambria Math"/>
                    <w:lang w:eastAsia="ja-JP"/>
                  </w:rPr>
                  <m:t>M</m:t>
                </m:r>
                <m:ctrlPr>
                  <w:rPr>
                    <w:rFonts w:ascii="Cambria Math" w:hAnsi="Cambria Math"/>
                    <w:i/>
                    <w:lang w:eastAsia="ja-JP"/>
                  </w:rPr>
                </m:ctrlPr>
              </m:e>
              <m:sub>
                <m:r>
                  <w:rPr>
                    <w:rFonts w:ascii="Cambria Math" w:hAnsi="Cambria Math"/>
                    <w:lang w:eastAsia="ja-JP"/>
                  </w:rPr>
                  <m:t>i</m:t>
                </m:r>
                <m:ctrlPr>
                  <w:rPr>
                    <w:rFonts w:ascii="Cambria Math" w:hAnsi="Cambria Math"/>
                    <w:i/>
                    <w:lang w:eastAsia="ja-JP"/>
                  </w:rPr>
                </m:ctrlPr>
              </m:sub>
            </m:sSub>
            <m:r>
              <w:rPr>
                <w:rFonts w:ascii="Cambria Math" w:hAnsi="Cambria Math"/>
                <w:lang w:eastAsia="ja-JP"/>
              </w:rPr>
              <m:t xml:space="preserve"> or </m:t>
            </m:r>
            <m:sSub>
              <m:sSubPr>
                <m:ctrlPr>
                  <w:rPr>
                    <w:rFonts w:ascii="Cambria Math" w:hAnsi="Cambria Math"/>
                    <w:i/>
                    <w:lang w:eastAsia="ja-JP"/>
                  </w:rPr>
                </m:ctrlPr>
              </m:sSubPr>
              <m:e>
                <m:r>
                  <w:rPr>
                    <w:rFonts w:ascii="Cambria Math" w:hAnsi="Cambria Math"/>
                    <w:lang w:eastAsia="ja-JP"/>
                  </w:rPr>
                  <m:t>N</m:t>
                </m:r>
                <m:ctrlPr>
                  <w:rPr>
                    <w:rFonts w:ascii="Cambria Math" w:hAnsi="Cambria Math"/>
                    <w:i/>
                    <w:lang w:eastAsia="ja-JP"/>
                  </w:rPr>
                </m:ctrlPr>
              </m:e>
              <m:sub>
                <m:r>
                  <w:rPr>
                    <w:rFonts w:ascii="Cambria Math" w:hAnsi="Cambria Math"/>
                    <w:lang w:eastAsia="ja-JP"/>
                  </w:rPr>
                  <m:t>i</m:t>
                </m:r>
                <m:ctrlPr>
                  <w:rPr>
                    <w:rFonts w:ascii="Cambria Math" w:hAnsi="Cambria Math"/>
                    <w:i/>
                    <w:lang w:eastAsia="ja-JP"/>
                  </w:rPr>
                </m:ctrlP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2</m:t>
                </m:r>
                <m:ctrlPr>
                  <w:rPr>
                    <w:rFonts w:ascii="Cambria Math" w:hAnsi="Cambria Math"/>
                    <w:i/>
                    <w:lang w:eastAsia="ja-JP"/>
                  </w:rPr>
                </m:ctrlPr>
              </m:e>
              <m:sup>
                <m:r>
                  <w:rPr>
                    <w:rFonts w:ascii="Cambria Math" w:hAnsi="Cambria Math"/>
                    <w:lang w:eastAsia="ja-JP"/>
                  </w:rPr>
                  <m:t>i-μ(n)</m:t>
                </m:r>
                <m:ctrlPr>
                  <w:rPr>
                    <w:rFonts w:ascii="Cambria Math" w:hAnsi="Cambria Math"/>
                    <w:i/>
                    <w:lang w:eastAsia="ja-JP"/>
                  </w:rPr>
                </m:ctrlPr>
              </m:sup>
            </m:sSup>
            <m:ctrlPr>
              <w:rPr>
                <w:rFonts w:ascii="Cambria Math" w:hAnsi="Cambria Math"/>
                <w:i/>
                <w:lang w:eastAsia="ja-JP"/>
              </w:rPr>
            </m:ctrlPr>
          </m:e>
        </m:nary>
      </m:oMath>
      <w:r>
        <w:rPr>
          <w:rFonts w:hint="eastAsia"/>
          <w:lang w:eastAsia="ja-JP"/>
        </w:rPr>
        <w:t>,</w:t>
      </w:r>
      <w:r>
        <w:rPr>
          <w:rFonts w:hint="eastAsia"/>
          <w:i/>
          <w:lang w:eastAsia="ja-JP"/>
        </w:rPr>
        <w:t xml:space="preserve"> where M</w:t>
      </w:r>
      <w:r>
        <w:rPr>
          <w:rFonts w:hint="eastAsia"/>
          <w:i/>
          <w:vertAlign w:val="subscript"/>
          <w:lang w:eastAsia="ja-JP"/>
        </w:rPr>
        <w:t>i</w:t>
      </w:r>
      <w:r>
        <w:rPr>
          <w:rFonts w:hint="eastAsia"/>
          <w:i/>
          <w:lang w:eastAsia="ja-JP"/>
        </w:rPr>
        <w:t xml:space="preserve"> and N</w:t>
      </w:r>
      <w:r>
        <w:rPr>
          <w:rFonts w:hint="eastAsia"/>
          <w:i/>
          <w:vertAlign w:val="subscript"/>
          <w:lang w:eastAsia="ja-JP"/>
        </w:rPr>
        <w:t>i</w:t>
      </w:r>
      <w:r>
        <w:rPr>
          <w:rFonts w:hint="eastAsia"/>
          <w:i/>
          <w:lang w:eastAsia="ja-JP"/>
        </w:rPr>
        <w:t xml:space="preserve"> denote the limit of BDs and CCEs per slot for non-CA case for numerology i, respectively.</w:t>
      </w:r>
    </w:p>
    <w:p>
      <w:pPr>
        <w:pStyle w:val="111"/>
        <w:numPr>
          <w:ilvl w:val="1"/>
          <w:numId w:val="10"/>
        </w:numPr>
        <w:spacing w:after="200" w:line="276" w:lineRule="auto"/>
        <w:rPr>
          <w:i/>
          <w:lang w:eastAsia="ja-JP"/>
        </w:rPr>
      </w:pPr>
      <w:r>
        <w:rPr>
          <w:i/>
          <w:lang w:eastAsia="ja-JP"/>
        </w:rPr>
        <w:t>The total limit of BDs/CCEs can be split across schedulable CCs for the same scheduling CC, subject to the non-CA limit on each CC</w:t>
      </w:r>
      <w:r>
        <w:rPr>
          <w:rFonts w:hint="eastAsia"/>
          <w:i/>
          <w:lang w:eastAsia="ja-JP"/>
        </w:rPr>
        <w:t>.</w:t>
      </w:r>
    </w:p>
    <w:p>
      <w:pPr>
        <w:pStyle w:val="111"/>
        <w:numPr>
          <w:ilvl w:val="0"/>
          <w:numId w:val="10"/>
        </w:numPr>
        <w:spacing w:after="200" w:line="276" w:lineRule="auto"/>
        <w:rPr>
          <w:i/>
          <w:lang w:eastAsia="ja-JP"/>
        </w:rPr>
      </w:pPr>
      <w:r>
        <w:rPr>
          <w:rFonts w:hint="eastAsia"/>
          <w:i/>
          <w:lang w:eastAsia="ja-JP"/>
        </w:rPr>
        <w:t>For c</w:t>
      </w:r>
      <w:r>
        <w:rPr>
          <w:i/>
          <w:lang w:eastAsia="ja-JP"/>
        </w:rPr>
        <w:t xml:space="preserve">ross-carrier scheduling with mixed numerologies, and the number of DL-CCs is </w:t>
      </w:r>
      <w:r>
        <w:rPr>
          <w:rFonts w:hint="eastAsia"/>
          <w:i/>
          <w:lang w:eastAsia="ja-JP"/>
        </w:rPr>
        <w:t>more than</w:t>
      </w:r>
      <w:r>
        <w:rPr>
          <w:i/>
          <w:lang w:eastAsia="ja-JP"/>
        </w:rPr>
        <w:t xml:space="preserve"> 4 </w:t>
      </w:r>
      <w:r>
        <w:rPr>
          <w:rFonts w:hint="eastAsia"/>
          <w:i/>
          <w:lang w:eastAsia="ja-JP"/>
        </w:rPr>
        <w:t>and</w:t>
      </w:r>
      <w:r>
        <w:rPr>
          <w:i/>
          <w:lang w:eastAsia="ja-JP"/>
        </w:rPr>
        <w:t xml:space="preserve"> with up to T DL-CCs where the UE reports BD capability of y </w:t>
      </w:r>
      <w:r>
        <w:rPr>
          <w:rFonts w:hint="eastAsia"/>
          <w:i/>
          <w:lang w:eastAsia="ja-JP"/>
        </w:rPr>
        <w:t>&lt;</w:t>
      </w:r>
      <w:r>
        <w:rPr>
          <w:i/>
          <w:lang w:eastAsia="ja-JP"/>
        </w:rPr>
        <w:t xml:space="preserve"> T</w:t>
      </w:r>
      <w:r>
        <w:rPr>
          <w:rFonts w:hint="eastAsia"/>
          <w:i/>
          <w:lang w:eastAsia="ja-JP"/>
        </w:rPr>
        <w:t>,</w:t>
      </w:r>
    </w:p>
    <w:p>
      <w:pPr>
        <w:pStyle w:val="111"/>
        <w:numPr>
          <w:ilvl w:val="1"/>
          <w:numId w:val="10"/>
        </w:numPr>
        <w:spacing w:after="200" w:line="276" w:lineRule="auto"/>
        <w:rPr>
          <w:i/>
          <w:lang w:eastAsia="ja-JP"/>
        </w:rPr>
      </w:pPr>
      <w:r>
        <w:rPr>
          <w:rFonts w:hint="eastAsia"/>
          <w:i/>
          <w:lang w:eastAsia="ja-JP"/>
        </w:rPr>
        <w:t xml:space="preserve">If there are N scheduling cells where the numerology of the nth scheduling cell is </w:t>
      </w:r>
      <w:r>
        <w:rPr>
          <w:rFonts w:ascii="Symbol" w:hAnsi="Symbol"/>
          <w:i/>
          <w:lang w:eastAsia="ja-JP"/>
        </w:rPr>
        <w:t></w:t>
      </w:r>
      <w:r>
        <w:rPr>
          <w:rFonts w:hint="eastAsia"/>
          <w:i/>
          <w:lang w:eastAsia="ja-JP"/>
        </w:rPr>
        <w:t xml:space="preserve">(n) with n=1~N and </w:t>
      </w:r>
      <w:r>
        <w:rPr>
          <w:rFonts w:ascii="Symbol" w:hAnsi="Symbol"/>
          <w:i/>
          <w:lang w:eastAsia="ja-JP"/>
        </w:rPr>
        <w:t></w:t>
      </w:r>
      <w:r>
        <w:rPr>
          <w:rFonts w:hint="eastAsia"/>
          <w:i/>
          <w:lang w:eastAsia="ja-JP"/>
        </w:rPr>
        <w:t>(n)=0~3, and the n</w:t>
      </w:r>
      <w:r>
        <w:rPr>
          <w:rFonts w:hint="eastAsia"/>
          <w:i/>
          <w:vertAlign w:val="subscript"/>
          <w:lang w:eastAsia="ja-JP"/>
        </w:rPr>
        <w:t>th</w:t>
      </w:r>
      <w:r>
        <w:rPr>
          <w:rFonts w:hint="eastAsia"/>
          <w:i/>
          <w:lang w:eastAsia="ja-JP"/>
        </w:rPr>
        <w:t xml:space="preserve"> scheduling cell has X</w:t>
      </w:r>
      <w:r>
        <w:rPr>
          <w:rFonts w:hint="eastAsia"/>
          <w:i/>
          <w:vertAlign w:val="subscript"/>
          <w:lang w:eastAsia="ja-JP"/>
        </w:rPr>
        <w:t>i</w:t>
      </w:r>
      <w:r>
        <w:rPr>
          <w:rFonts w:hint="eastAsia"/>
          <w:i/>
          <w:lang w:eastAsia="ja-JP"/>
        </w:rPr>
        <w:t>(n) schedulable DL cells with numerology i w</w:t>
      </w:r>
      <w:r>
        <w:rPr>
          <w:i/>
          <w:lang w:eastAsia="ja-JP"/>
        </w:rPr>
        <w:t>here</w:t>
      </w:r>
      <w:r>
        <w:rPr>
          <w:rFonts w:hint="eastAsia"/>
          <w:i/>
          <w:lang w:eastAsia="ja-JP"/>
        </w:rPr>
        <w:t xml:space="preserve"> i=0~3, the limit of BDs/CCEs of the nth scheduling CC per slot is given by </w:t>
      </w:r>
      <m:oMath>
        <m:d>
          <m:dPr>
            <m:begChr m:val="⌊"/>
            <m:endChr m:val="⌋"/>
            <m:ctrlPr>
              <w:rPr>
                <w:rFonts w:ascii="Cambria Math" w:hAnsi="Cambria Math"/>
                <w:i/>
                <w:lang w:eastAsia="ja-JP"/>
              </w:rPr>
            </m:ctrlPr>
          </m:dPr>
          <m:e>
            <m:nary>
              <m:naryPr>
                <m:chr m:val="∑"/>
                <m:limLoc m:val="undOvr"/>
                <m:ctrlPr>
                  <w:rPr>
                    <w:rFonts w:ascii="Cambria Math" w:hAnsi="Cambria Math"/>
                    <w:i/>
                    <w:lang w:eastAsia="ja-JP"/>
                  </w:rPr>
                </m:ctrlPr>
              </m:naryPr>
              <m:sub>
                <m:r>
                  <w:rPr>
                    <w:rFonts w:ascii="Cambria Math" w:hAnsi="Cambria Math"/>
                    <w:lang w:eastAsia="ja-JP"/>
                  </w:rPr>
                  <m:t>i=0</m:t>
                </m:r>
                <m:ctrlPr>
                  <w:rPr>
                    <w:rFonts w:ascii="Cambria Math" w:hAnsi="Cambria Math"/>
                    <w:i/>
                    <w:lang w:eastAsia="ja-JP"/>
                  </w:rPr>
                </m:ctrlPr>
              </m:sub>
              <m:sup>
                <m:r>
                  <w:rPr>
                    <w:rFonts w:ascii="Cambria Math" w:hAnsi="Cambria Math"/>
                    <w:lang w:eastAsia="ja-JP"/>
                  </w:rPr>
                  <m:t>3</m:t>
                </m:r>
                <m:ctrlPr>
                  <w:rPr>
                    <w:rFonts w:ascii="Cambria Math" w:hAnsi="Cambria Math"/>
                    <w:i/>
                    <w:lang w:eastAsia="ja-JP"/>
                  </w:rPr>
                </m:ctrlPr>
              </m:sup>
              <m:e>
                <m:sSub>
                  <m:sSubPr>
                    <m:ctrlPr>
                      <w:rPr>
                        <w:rFonts w:ascii="Cambria Math" w:hAnsi="Cambria Math"/>
                        <w:i/>
                        <w:lang w:eastAsia="ja-JP"/>
                      </w:rPr>
                    </m:ctrlPr>
                  </m:sSubPr>
                  <m:e>
                    <m:r>
                      <w:rPr>
                        <w:rFonts w:ascii="Cambria Math" w:hAnsi="Cambria Math"/>
                        <w:lang w:eastAsia="ja-JP"/>
                      </w:rPr>
                      <m:t>X</m:t>
                    </m:r>
                    <m:ctrlPr>
                      <w:rPr>
                        <w:rFonts w:ascii="Cambria Math" w:hAnsi="Cambria Math"/>
                        <w:i/>
                        <w:lang w:eastAsia="ja-JP"/>
                      </w:rPr>
                    </m:ctrlPr>
                  </m:e>
                  <m:sub>
                    <m:r>
                      <w:rPr>
                        <w:rFonts w:ascii="Cambria Math" w:hAnsi="Cambria Math"/>
                        <w:lang w:eastAsia="ja-JP"/>
                      </w:rPr>
                      <m:t>i</m:t>
                    </m:r>
                    <m:ctrlPr>
                      <w:rPr>
                        <w:rFonts w:ascii="Cambria Math" w:hAnsi="Cambria Math"/>
                        <w:i/>
                        <w:lang w:eastAsia="ja-JP"/>
                      </w:rPr>
                    </m:ctrlPr>
                  </m:sub>
                </m:sSub>
                <m:r>
                  <w:rPr>
                    <w:rFonts w:ascii="Cambria Math" w:hAnsi="Cambria Math"/>
                    <w:lang w:eastAsia="ja-JP"/>
                  </w:rPr>
                  <m:t>(n)×(</m:t>
                </m:r>
                <m:sSub>
                  <m:sSubPr>
                    <m:ctrlPr>
                      <w:rPr>
                        <w:rFonts w:ascii="Cambria Math" w:hAnsi="Cambria Math"/>
                        <w:i/>
                        <w:lang w:eastAsia="ja-JP"/>
                      </w:rPr>
                    </m:ctrlPr>
                  </m:sSubPr>
                  <m:e>
                    <m:r>
                      <w:rPr>
                        <w:rFonts w:ascii="Cambria Math" w:hAnsi="Cambria Math"/>
                        <w:lang w:eastAsia="ja-JP"/>
                      </w:rPr>
                      <m:t>M</m:t>
                    </m:r>
                    <m:ctrlPr>
                      <w:rPr>
                        <w:rFonts w:ascii="Cambria Math" w:hAnsi="Cambria Math"/>
                        <w:i/>
                        <w:lang w:eastAsia="ja-JP"/>
                      </w:rPr>
                    </m:ctrlPr>
                  </m:e>
                  <m:sub>
                    <m:r>
                      <w:rPr>
                        <w:rFonts w:ascii="Cambria Math" w:hAnsi="Cambria Math"/>
                        <w:lang w:eastAsia="ja-JP"/>
                      </w:rPr>
                      <m:t>i</m:t>
                    </m:r>
                    <m:ctrlPr>
                      <w:rPr>
                        <w:rFonts w:ascii="Cambria Math" w:hAnsi="Cambria Math"/>
                        <w:i/>
                        <w:lang w:eastAsia="ja-JP"/>
                      </w:rPr>
                    </m:ctrlPr>
                  </m:sub>
                </m:sSub>
                <m:r>
                  <w:rPr>
                    <w:rFonts w:ascii="Cambria Math" w:hAnsi="Cambria Math"/>
                    <w:lang w:eastAsia="ja-JP"/>
                  </w:rPr>
                  <m:t xml:space="preserve"> or </m:t>
                </m:r>
                <m:sSub>
                  <m:sSubPr>
                    <m:ctrlPr>
                      <w:rPr>
                        <w:rFonts w:ascii="Cambria Math" w:hAnsi="Cambria Math"/>
                        <w:i/>
                        <w:lang w:eastAsia="ja-JP"/>
                      </w:rPr>
                    </m:ctrlPr>
                  </m:sSubPr>
                  <m:e>
                    <m:r>
                      <w:rPr>
                        <w:rFonts w:ascii="Cambria Math" w:hAnsi="Cambria Math"/>
                        <w:lang w:eastAsia="ja-JP"/>
                      </w:rPr>
                      <m:t>N</m:t>
                    </m:r>
                    <m:ctrlPr>
                      <w:rPr>
                        <w:rFonts w:ascii="Cambria Math" w:hAnsi="Cambria Math"/>
                        <w:i/>
                        <w:lang w:eastAsia="ja-JP"/>
                      </w:rPr>
                    </m:ctrlPr>
                  </m:e>
                  <m:sub>
                    <m:r>
                      <w:rPr>
                        <w:rFonts w:ascii="Cambria Math" w:hAnsi="Cambria Math"/>
                        <w:lang w:eastAsia="ja-JP"/>
                      </w:rPr>
                      <m:t>i</m:t>
                    </m:r>
                    <m:ctrlPr>
                      <w:rPr>
                        <w:rFonts w:ascii="Cambria Math" w:hAnsi="Cambria Math"/>
                        <w:i/>
                        <w:lang w:eastAsia="ja-JP"/>
                      </w:rPr>
                    </m:ctrlP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2</m:t>
                    </m:r>
                    <m:ctrlPr>
                      <w:rPr>
                        <w:rFonts w:ascii="Cambria Math" w:hAnsi="Cambria Math"/>
                        <w:i/>
                        <w:lang w:eastAsia="ja-JP"/>
                      </w:rPr>
                    </m:ctrlPr>
                  </m:e>
                  <m:sup>
                    <m:r>
                      <w:rPr>
                        <w:rFonts w:ascii="Cambria Math" w:hAnsi="Cambria Math"/>
                        <w:lang w:eastAsia="ja-JP"/>
                      </w:rPr>
                      <m:t>i-μ(n)</m:t>
                    </m:r>
                    <m:ctrlPr>
                      <w:rPr>
                        <w:rFonts w:ascii="Cambria Math" w:hAnsi="Cambria Math"/>
                        <w:i/>
                        <w:lang w:eastAsia="ja-JP"/>
                      </w:rPr>
                    </m:ctrlPr>
                  </m:sup>
                </m:sSup>
                <m:r>
                  <w:rPr>
                    <w:rFonts w:ascii="Cambria Math" w:hAnsi="Cambria Math"/>
                    <w:lang w:eastAsia="ja-JP"/>
                  </w:rPr>
                  <m:t>×</m:t>
                </m:r>
                <m:f>
                  <m:fPr>
                    <m:ctrlPr>
                      <w:rPr>
                        <w:rFonts w:ascii="Cambria Math" w:hAnsi="Cambria Math"/>
                        <w:i/>
                        <w:lang w:eastAsia="ja-JP"/>
                      </w:rPr>
                    </m:ctrlPr>
                  </m:fPr>
                  <m:num>
                    <m:r>
                      <w:rPr>
                        <w:rFonts w:ascii="Cambria Math" w:hAnsi="Cambria Math"/>
                        <w:lang w:eastAsia="ja-JP"/>
                      </w:rPr>
                      <m:t>y</m:t>
                    </m:r>
                    <m:ctrlPr>
                      <w:rPr>
                        <w:rFonts w:ascii="Cambria Math" w:hAnsi="Cambria Math"/>
                        <w:i/>
                        <w:lang w:eastAsia="ja-JP"/>
                      </w:rPr>
                    </m:ctrlPr>
                  </m:num>
                  <m:den>
                    <m:sSub>
                      <m:sSubPr>
                        <m:ctrlPr>
                          <w:rPr>
                            <w:rFonts w:ascii="Cambria Math" w:hAnsi="Cambria Math"/>
                            <w:i/>
                            <w:lang w:eastAsia="ja-JP"/>
                          </w:rPr>
                        </m:ctrlPr>
                      </m:sSubPr>
                      <m:e>
                        <m:r>
                          <w:rPr>
                            <w:rFonts w:ascii="Cambria Math" w:hAnsi="Cambria Math"/>
                            <w:lang w:eastAsia="ja-JP"/>
                          </w:rPr>
                          <m:t>X</m:t>
                        </m:r>
                        <m:ctrlPr>
                          <w:rPr>
                            <w:rFonts w:ascii="Cambria Math" w:hAnsi="Cambria Math"/>
                            <w:i/>
                            <w:lang w:eastAsia="ja-JP"/>
                          </w:rPr>
                        </m:ctrlPr>
                      </m:e>
                      <m:sub>
                        <m:r>
                          <w:rPr>
                            <w:rFonts w:ascii="Cambria Math" w:hAnsi="Cambria Math"/>
                            <w:lang w:eastAsia="ja-JP"/>
                          </w:rPr>
                          <m:t>0</m:t>
                        </m:r>
                        <m:ctrlPr>
                          <w:rPr>
                            <w:rFonts w:ascii="Cambria Math" w:hAnsi="Cambria Math"/>
                            <w:i/>
                            <w:lang w:eastAsia="ja-JP"/>
                          </w:rPr>
                        </m:ctrlP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X</m:t>
                        </m:r>
                        <m:ctrlPr>
                          <w:rPr>
                            <w:rFonts w:ascii="Cambria Math" w:hAnsi="Cambria Math"/>
                            <w:i/>
                            <w:lang w:eastAsia="ja-JP"/>
                          </w:rPr>
                        </m:ctrlPr>
                      </m:e>
                      <m:sub>
                        <m:r>
                          <w:rPr>
                            <w:rFonts w:ascii="Cambria Math" w:hAnsi="Cambria Math"/>
                            <w:lang w:eastAsia="ja-JP"/>
                          </w:rPr>
                          <m:t>1</m:t>
                        </m:r>
                        <m:ctrlPr>
                          <w:rPr>
                            <w:rFonts w:ascii="Cambria Math" w:hAnsi="Cambria Math"/>
                            <w:i/>
                            <w:lang w:eastAsia="ja-JP"/>
                          </w:rPr>
                        </m:ctrlP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X</m:t>
                        </m:r>
                        <m:ctrlPr>
                          <w:rPr>
                            <w:rFonts w:ascii="Cambria Math" w:hAnsi="Cambria Math"/>
                            <w:i/>
                            <w:lang w:eastAsia="ja-JP"/>
                          </w:rPr>
                        </m:ctrlPr>
                      </m:e>
                      <m:sub>
                        <m:r>
                          <w:rPr>
                            <w:rFonts w:ascii="Cambria Math" w:hAnsi="Cambria Math"/>
                            <w:lang w:eastAsia="ja-JP"/>
                          </w:rPr>
                          <m:t>2</m:t>
                        </m:r>
                        <m:ctrlPr>
                          <w:rPr>
                            <w:rFonts w:ascii="Cambria Math" w:hAnsi="Cambria Math"/>
                            <w:i/>
                            <w:lang w:eastAsia="ja-JP"/>
                          </w:rPr>
                        </m:ctrlP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X</m:t>
                        </m:r>
                        <m:ctrlPr>
                          <w:rPr>
                            <w:rFonts w:ascii="Cambria Math" w:hAnsi="Cambria Math"/>
                            <w:i/>
                            <w:lang w:eastAsia="ja-JP"/>
                          </w:rPr>
                        </m:ctrlPr>
                      </m:e>
                      <m:sub>
                        <m:r>
                          <w:rPr>
                            <w:rFonts w:ascii="Cambria Math" w:hAnsi="Cambria Math"/>
                            <w:lang w:eastAsia="ja-JP"/>
                          </w:rPr>
                          <m:t>3</m:t>
                        </m:r>
                        <m:ctrlPr>
                          <w:rPr>
                            <w:rFonts w:ascii="Cambria Math" w:hAnsi="Cambria Math"/>
                            <w:i/>
                            <w:lang w:eastAsia="ja-JP"/>
                          </w:rPr>
                        </m:ctrlPr>
                      </m:sub>
                    </m:sSub>
                    <m:ctrlPr>
                      <w:rPr>
                        <w:rFonts w:ascii="Cambria Math" w:hAnsi="Cambria Math"/>
                        <w:i/>
                        <w:lang w:eastAsia="ja-JP"/>
                      </w:rPr>
                    </m:ctrlPr>
                  </m:den>
                </m:f>
                <m:ctrlPr>
                  <w:rPr>
                    <w:rFonts w:ascii="Cambria Math" w:hAnsi="Cambria Math"/>
                    <w:i/>
                    <w:lang w:eastAsia="ja-JP"/>
                  </w:rPr>
                </m:ctrlPr>
              </m:e>
            </m:nary>
            <m:ctrlPr>
              <w:rPr>
                <w:rFonts w:ascii="Cambria Math" w:hAnsi="Cambria Math"/>
                <w:i/>
                <w:lang w:eastAsia="ja-JP"/>
              </w:rPr>
            </m:ctrlPr>
          </m:e>
        </m:d>
      </m:oMath>
      <w:r>
        <w:rPr>
          <w:rFonts w:hint="eastAsia"/>
          <w:i/>
          <w:lang w:eastAsia="ja-JP"/>
        </w:rPr>
        <w:t>, where M</w:t>
      </w:r>
      <w:r>
        <w:rPr>
          <w:rFonts w:hint="eastAsia"/>
          <w:i/>
          <w:vertAlign w:val="subscript"/>
          <w:lang w:eastAsia="ja-JP"/>
        </w:rPr>
        <w:t>i</w:t>
      </w:r>
      <w:r>
        <w:rPr>
          <w:rFonts w:hint="eastAsia"/>
          <w:i/>
          <w:lang w:eastAsia="ja-JP"/>
        </w:rPr>
        <w:t xml:space="preserve"> and N</w:t>
      </w:r>
      <w:r>
        <w:rPr>
          <w:rFonts w:hint="eastAsia"/>
          <w:i/>
          <w:vertAlign w:val="subscript"/>
          <w:lang w:eastAsia="ja-JP"/>
        </w:rPr>
        <w:t>i</w:t>
      </w:r>
      <w:r>
        <w:rPr>
          <w:rFonts w:hint="eastAsia"/>
          <w:i/>
          <w:lang w:eastAsia="ja-JP"/>
        </w:rPr>
        <w:t xml:space="preserve"> denote the limit of BDs and CCEs per slot for non-CA case for numerology i, respectively.</w:t>
      </w:r>
    </w:p>
    <w:p>
      <w:pPr>
        <w:pStyle w:val="111"/>
        <w:numPr>
          <w:ilvl w:val="1"/>
          <w:numId w:val="10"/>
        </w:numPr>
        <w:spacing w:after="200" w:line="276" w:lineRule="auto"/>
        <w:rPr>
          <w:rFonts w:hint="eastAsia"/>
          <w:i/>
          <w:lang w:eastAsia="ja-JP"/>
        </w:rPr>
      </w:pPr>
      <w:r>
        <w:rPr>
          <w:i/>
          <w:lang w:eastAsia="ja-JP"/>
        </w:rPr>
        <w:t>The total limit of BDs/CCEs can be split across schedulable CCs for the same scheduling CC, subject to the non-CA limit on each CC</w:t>
      </w:r>
      <w:r>
        <w:rPr>
          <w:rFonts w:hint="eastAsia"/>
          <w:i/>
          <w:lang w:eastAsia="ja-JP"/>
        </w:rPr>
        <w:t>.</w:t>
      </w:r>
    </w:p>
    <w:p>
      <w:pPr>
        <w:rPr>
          <w:u w:val="single"/>
          <w:lang w:eastAsia="zh-CN"/>
        </w:rPr>
      </w:pPr>
      <w:r>
        <w:rPr>
          <w:rFonts w:hint="eastAsia"/>
          <w:u w:val="single"/>
          <w:lang w:eastAsia="zh-CN"/>
        </w:rPr>
        <w:t>C</w:t>
      </w:r>
      <w:r>
        <w:rPr>
          <w:u w:val="single"/>
          <w:lang w:eastAsia="zh-CN"/>
        </w:rPr>
        <w:t>ausality constraint</w:t>
      </w:r>
    </w:p>
    <w:p>
      <w:pPr>
        <w:pStyle w:val="128"/>
        <w:rPr>
          <w:rFonts w:hint="eastAsia"/>
          <w:lang w:eastAsia="zh-CN"/>
        </w:rPr>
      </w:pPr>
      <w:r>
        <w:rPr>
          <w:rFonts w:hint="eastAsia"/>
          <w:lang w:eastAsia="zh-CN"/>
        </w:rPr>
        <w:t>In case of cross-carrier scheduling</w:t>
      </w:r>
      <w:r>
        <w:rPr>
          <w:lang w:eastAsia="zh-CN"/>
        </w:rPr>
        <w:t xml:space="preserve"> with different numerologies</w:t>
      </w:r>
      <w:r>
        <w:rPr>
          <w:rFonts w:hint="eastAsia"/>
          <w:lang w:eastAsia="zh-CN"/>
        </w:rPr>
        <w:t>, PDSCH is not allowed to be (even partially) overlapped with the corresponding scheduling PDCCH.</w:t>
      </w:r>
    </w:p>
    <w:p>
      <w:pPr>
        <w:rPr>
          <w:u w:val="single"/>
          <w:lang w:eastAsia="zh-CN"/>
        </w:rPr>
      </w:pPr>
      <w:r>
        <w:rPr>
          <w:u w:val="single"/>
          <w:lang w:eastAsia="zh-CN"/>
        </w:rPr>
        <w:t>QCL determination</w:t>
      </w:r>
    </w:p>
    <w:p>
      <w:pPr>
        <w:pStyle w:val="138"/>
        <w:numPr>
          <w:numId w:val="14"/>
        </w:numPr>
        <w:bidi w:val="0"/>
      </w:pPr>
      <w:r>
        <w:t>Due to the QCL threshold, t</w:t>
      </w:r>
      <w:r>
        <w:rPr>
          <w:rFonts w:hint="eastAsia"/>
        </w:rPr>
        <w:t>he scheduling timing offset for cross-carrier scheduling is at least 7 symbols for the scheduled carrier of 60 KHz SCS and 14 symbols for the scheduled carrier of 120 KHz.</w:t>
      </w:r>
    </w:p>
    <w:p>
      <w:pPr>
        <w:rPr>
          <w:u w:val="single"/>
          <w:lang w:eastAsia="zh-CN"/>
        </w:rPr>
      </w:pPr>
    </w:p>
    <w:p>
      <w:pPr>
        <w:pStyle w:val="128"/>
        <w:rPr>
          <w:rFonts w:hint="eastAsia"/>
        </w:rPr>
      </w:pPr>
      <w:r>
        <w:rPr>
          <w:rFonts w:eastAsia="宋体"/>
          <w:lang w:eastAsia="zh-CN"/>
        </w:rPr>
        <w:t xml:space="preserve">To </w:t>
      </w:r>
      <w:r>
        <w:rPr>
          <w:rFonts w:hint="eastAsia" w:eastAsia="宋体"/>
          <w:lang w:eastAsia="zh-CN"/>
        </w:rPr>
        <w:t xml:space="preserve">decrease or even eliminate the scheduling timing offset for cross-carrier scheduling, </w:t>
      </w:r>
      <w:r>
        <w:rPr>
          <w:rFonts w:eastAsia="宋体"/>
          <w:lang w:eastAsia="zh-CN"/>
        </w:rPr>
        <w:t xml:space="preserve">adopt </w:t>
      </w:r>
      <w:r>
        <w:rPr>
          <w:rFonts w:hint="eastAsia" w:eastAsia="宋体"/>
          <w:lang w:eastAsia="zh-CN"/>
        </w:rPr>
        <w:t xml:space="preserve">TCI Option 1 or TCI Option 2 </w:t>
      </w:r>
      <w:r>
        <w:rPr>
          <w:rFonts w:eastAsia="宋体"/>
          <w:lang w:eastAsia="zh-CN"/>
        </w:rPr>
        <w:t>for QCL-Type-D determination when s</w:t>
      </w:r>
      <w:r>
        <w:rPr>
          <w:sz w:val="21"/>
          <w:szCs w:val="22"/>
          <w:lang w:eastAsia="zh-CN"/>
        </w:rPr>
        <w:t xml:space="preserve">cheduling timing offset is smaller than the threshold </w:t>
      </w:r>
      <w:r>
        <w:rPr>
          <w:color w:val="000000"/>
        </w:rPr>
        <w:t>Threshold-Sched-Offset</w:t>
      </w:r>
      <w:r>
        <w:rPr>
          <w:sz w:val="21"/>
          <w:szCs w:val="22"/>
          <w:lang w:eastAsia="zh-CN"/>
        </w:rPr>
        <w:t xml:space="preserve">. </w:t>
      </w:r>
      <w:r>
        <w:rPr>
          <w:rFonts w:hint="eastAsia" w:eastAsia="宋体"/>
          <w:lang w:eastAsia="zh-CN"/>
        </w:rPr>
        <w:t>.</w:t>
      </w:r>
    </w:p>
    <w:p>
      <w:pPr>
        <w:pStyle w:val="128"/>
      </w:pPr>
      <w:r>
        <w:rPr>
          <w:rFonts w:hint="eastAsia"/>
        </w:rPr>
        <w:t>When</w:t>
      </w:r>
      <w:r>
        <w:t xml:space="preserve"> PDSCH and its scheduling PDCCH are in the different </w:t>
      </w:r>
      <w:r>
        <w:rPr>
          <w:rFonts w:hint="eastAsia"/>
        </w:rPr>
        <w:t xml:space="preserve">CCs, </w:t>
      </w:r>
    </w:p>
    <w:p>
      <w:pPr>
        <w:pStyle w:val="128"/>
        <w:numPr>
          <w:ilvl w:val="0"/>
          <w:numId w:val="0"/>
        </w:numPr>
        <w:rPr>
          <w:rFonts w:hint="eastAsia"/>
        </w:rPr>
      </w:pPr>
      <w:r>
        <w:t>I</w:t>
      </w:r>
      <w:r>
        <w:rPr>
          <w:rFonts w:hint="eastAsia"/>
        </w:rPr>
        <w:t>f TCI field</w:t>
      </w:r>
      <w:r>
        <w:t xml:space="preserve"> is </w:t>
      </w:r>
      <w:r>
        <w:rPr>
          <w:rFonts w:hint="eastAsia"/>
        </w:rPr>
        <w:t xml:space="preserve">present in DCI and </w:t>
      </w:r>
      <w:r>
        <w:t xml:space="preserve">the time offset between the reception of the DL DCI and the corresponding PDSCH is </w:t>
      </w:r>
      <w:r>
        <w:rPr>
          <w:rFonts w:hint="eastAsia"/>
        </w:rPr>
        <w:t>smaller</w:t>
      </w:r>
      <w:r>
        <w:t xml:space="preserve"> than a threshold Threshold-Sched-Offset</w:t>
      </w:r>
      <w:r>
        <w:rPr>
          <w:rFonts w:hint="eastAsia"/>
        </w:rPr>
        <w:t xml:space="preserve">, UE </w:t>
      </w:r>
      <w:r>
        <w:t>obtains the QCL assumptions other than QCL-TypeD from</w:t>
      </w:r>
      <w:r>
        <w:rPr>
          <w:rFonts w:hint="eastAsia"/>
        </w:rPr>
        <w:t xml:space="preserve"> the indicated TCI state in DCI for the PDSCH.</w:t>
      </w:r>
    </w:p>
    <w:p>
      <w:pPr>
        <w:rPr>
          <w:u w:val="single"/>
          <w:lang w:eastAsia="zh-CN"/>
        </w:rPr>
      </w:pPr>
      <w:r>
        <w:rPr>
          <w:rFonts w:hint="eastAsia"/>
          <w:u w:val="single"/>
          <w:lang w:eastAsia="zh-CN"/>
        </w:rPr>
        <w:t>O</w:t>
      </w:r>
      <w:r>
        <w:rPr>
          <w:u w:val="single"/>
          <w:lang w:eastAsia="zh-CN"/>
        </w:rPr>
        <w:t>ther issues</w:t>
      </w:r>
    </w:p>
    <w:p>
      <w:pPr>
        <w:pStyle w:val="138"/>
        <w:bidi w:val="0"/>
      </w:pPr>
      <w:r>
        <w:rPr>
          <w:rFonts w:hint="eastAsia"/>
        </w:rPr>
        <w:t>There is no agreement in Rel-15 to limit the number of valid scheduling DCI capacity in Rel-15. The Rel-16 UE is envisioned to be more powerful than the Rel-15 one. Thus, it</w:t>
      </w:r>
      <w:r>
        <w:t>’</w:t>
      </w:r>
      <w:r>
        <w:rPr>
          <w:rFonts w:hint="eastAsia"/>
        </w:rPr>
        <w:t>s no need to limit the number of valid scheduling DCI capacity in Rel-16.</w:t>
      </w:r>
      <w:bookmarkStart w:id="17" w:name="_GoBack"/>
      <w:bookmarkEnd w:id="17"/>
    </w:p>
    <w:p>
      <w:pPr>
        <w:pStyle w:val="138"/>
        <w:bidi w:val="0"/>
      </w:pPr>
      <w:r>
        <w:rPr>
          <w:rFonts w:hint="eastAsia"/>
        </w:rPr>
        <w:t>The values of UE processing Capability#2 with cross-carrier scheduling need to be determined in Rel-16.</w:t>
      </w:r>
    </w:p>
    <w:p>
      <w:pPr>
        <w:rPr>
          <w:lang w:val="en-GB"/>
        </w:rPr>
      </w:pPr>
    </w:p>
    <w:p>
      <w:pPr>
        <w:pStyle w:val="2"/>
        <w:rPr>
          <w:lang w:eastAsia="zh-CN"/>
        </w:rPr>
      </w:pPr>
      <w:r>
        <w:rPr>
          <w:rFonts w:hint="eastAsia"/>
          <w:lang w:eastAsia="zh-CN"/>
        </w:rPr>
        <w:t>R</w:t>
      </w:r>
      <w:r>
        <w:rPr>
          <w:lang w:eastAsia="zh-CN"/>
        </w:rPr>
        <w:t>eference</w:t>
      </w:r>
    </w:p>
    <w:p>
      <w:pPr>
        <w:pStyle w:val="111"/>
        <w:numPr>
          <w:ilvl w:val="0"/>
          <w:numId w:val="15"/>
        </w:numPr>
        <w:rPr>
          <w:lang w:eastAsia="zh-CN"/>
        </w:rPr>
      </w:pPr>
      <w:bookmarkStart w:id="8" w:name="_Ref5899"/>
      <w:r>
        <w:rPr>
          <w:lang w:eastAsia="zh-CN"/>
        </w:rPr>
        <w:t>RP-182753, “Meeting Report for TSG RAN meeting: 81”, Sorrento, Italia, Dec. 10-13, 2018</w:t>
      </w:r>
      <w:r>
        <w:rPr>
          <w:rFonts w:asciiTheme="minorEastAsia" w:hAnsiTheme="minorEastAsia" w:eastAsiaTheme="minorEastAsia"/>
          <w:lang w:eastAsia="zh-CN"/>
        </w:rPr>
        <w:t>.</w:t>
      </w:r>
      <w:bookmarkEnd w:id="8"/>
    </w:p>
    <w:p>
      <w:pPr>
        <w:pStyle w:val="111"/>
        <w:numPr>
          <w:ilvl w:val="0"/>
          <w:numId w:val="15"/>
        </w:numPr>
        <w:rPr>
          <w:lang w:eastAsia="zh-CN"/>
        </w:rPr>
      </w:pPr>
      <w:bookmarkStart w:id="9" w:name="_Ref5922"/>
      <w:r>
        <w:rPr>
          <w:rFonts w:hint="eastAsia"/>
          <w:lang w:eastAsia="zh-CN"/>
        </w:rPr>
        <w:t>RP-182014</w:t>
      </w:r>
      <w:r>
        <w:rPr>
          <w:rFonts w:hint="eastAsia"/>
          <w:lang w:val="en-US" w:eastAsia="zh-CN"/>
        </w:rPr>
        <w:t xml:space="preserve">, </w:t>
      </w:r>
      <w:r>
        <w:rPr>
          <w:lang w:val="en-US" w:eastAsia="zh-CN"/>
        </w:rPr>
        <w:t>“Way Forward for Cross-Carrier Scheduling with Different Numerologies”</w:t>
      </w:r>
      <w:r>
        <w:rPr>
          <w:rFonts w:hint="eastAsia"/>
          <w:lang w:val="en-US" w:eastAsia="zh-CN"/>
        </w:rPr>
        <w:t xml:space="preserve">, </w:t>
      </w:r>
      <w:r>
        <w:rPr>
          <w:lang w:eastAsia="zh-CN"/>
        </w:rPr>
        <w:t>Sorrento, Italia, December 10-13, 2018</w:t>
      </w:r>
      <w:r>
        <w:rPr>
          <w:rFonts w:asciiTheme="minorEastAsia" w:hAnsiTheme="minorEastAsia" w:eastAsiaTheme="minorEastAsia"/>
          <w:lang w:eastAsia="zh-CN"/>
        </w:rPr>
        <w:t>.</w:t>
      </w:r>
      <w:bookmarkEnd w:id="9"/>
    </w:p>
    <w:p>
      <w:pPr>
        <w:pStyle w:val="111"/>
        <w:numPr>
          <w:ilvl w:val="0"/>
          <w:numId w:val="15"/>
        </w:numPr>
        <w:rPr>
          <w:lang w:eastAsia="zh-CN"/>
        </w:rPr>
      </w:pPr>
      <w:bookmarkStart w:id="10" w:name="_Ref31965"/>
      <w:r>
        <w:rPr>
          <w:rFonts w:hint="eastAsia"/>
          <w:lang w:eastAsia="zh-CN"/>
        </w:rPr>
        <w:t>R1-1811820</w:t>
      </w:r>
      <w:r>
        <w:rPr>
          <w:rFonts w:hint="eastAsia"/>
          <w:lang w:val="en-US" w:eastAsia="zh-CN"/>
        </w:rPr>
        <w:t xml:space="preserve">, </w:t>
      </w:r>
      <w:r>
        <w:rPr>
          <w:lang w:val="en-US" w:eastAsia="zh-CN"/>
        </w:rPr>
        <w:t>“Offline summary for PDCCH structure and search space”</w:t>
      </w:r>
      <w:r>
        <w:rPr>
          <w:rFonts w:hint="eastAsia"/>
          <w:lang w:val="en-US" w:eastAsia="zh-CN"/>
        </w:rPr>
        <w:t>, Chengdu, China, October 8–12, 2018.</w:t>
      </w:r>
      <w:bookmarkEnd w:id="10"/>
    </w:p>
    <w:p>
      <w:pPr>
        <w:pStyle w:val="111"/>
        <w:numPr>
          <w:ilvl w:val="0"/>
          <w:numId w:val="15"/>
        </w:numPr>
        <w:rPr>
          <w:lang w:eastAsia="zh-CN"/>
        </w:rPr>
      </w:pPr>
      <w:bookmarkStart w:id="11" w:name="_Ref32102"/>
      <w:r>
        <w:rPr>
          <w:rFonts w:hint="eastAsia"/>
          <w:lang w:eastAsia="zh-CN"/>
        </w:rPr>
        <w:t>R1-1812101</w:t>
      </w:r>
      <w:r>
        <w:rPr>
          <w:rFonts w:hint="eastAsia"/>
          <w:lang w:val="en-US" w:eastAsia="zh-CN"/>
        </w:rPr>
        <w:t xml:space="preserve">, </w:t>
      </w:r>
      <w:r>
        <w:rPr>
          <w:lang w:val="en-US" w:eastAsia="zh-CN"/>
        </w:rPr>
        <w:t>“Final Report of 3GPP TSG RAN WG1 #94bis v1.0.0”</w:t>
      </w:r>
      <w:r>
        <w:rPr>
          <w:rFonts w:hint="eastAsia"/>
          <w:lang w:val="en-US" w:eastAsia="zh-CN"/>
        </w:rPr>
        <w:t>, Chengdu, China, October 8–12, 2018.</w:t>
      </w:r>
      <w:bookmarkEnd w:id="11"/>
    </w:p>
    <w:p>
      <w:pPr>
        <w:pStyle w:val="111"/>
        <w:numPr>
          <w:ilvl w:val="0"/>
          <w:numId w:val="15"/>
        </w:numPr>
        <w:rPr>
          <w:lang w:eastAsia="zh-CN"/>
        </w:rPr>
      </w:pPr>
      <w:bookmarkStart w:id="12" w:name="_Ref534961152"/>
      <w:r>
        <w:rPr>
          <w:lang w:val="en-US" w:eastAsia="zh-CN"/>
        </w:rPr>
        <w:t>R1-1809766, “Offline summary for PDCCH structure and search space”, Gothenburg, Sweden, Aug. 20-24, 2018.</w:t>
      </w:r>
      <w:bookmarkEnd w:id="12"/>
    </w:p>
    <w:p>
      <w:pPr>
        <w:pStyle w:val="111"/>
        <w:numPr>
          <w:ilvl w:val="0"/>
          <w:numId w:val="15"/>
        </w:numPr>
        <w:rPr>
          <w:lang w:eastAsia="zh-CN"/>
        </w:rPr>
      </w:pPr>
      <w:bookmarkStart w:id="13" w:name="_Ref4843"/>
      <w:r>
        <w:rPr>
          <w:rFonts w:hint="eastAsia"/>
          <w:lang w:eastAsia="zh-CN"/>
        </w:rPr>
        <w:t>R1-1808001</w:t>
      </w:r>
      <w:r>
        <w:rPr>
          <w:rFonts w:hint="eastAsia"/>
          <w:lang w:val="en-US" w:eastAsia="zh-CN"/>
        </w:rPr>
        <w:t xml:space="preserve">, </w:t>
      </w:r>
      <w:r>
        <w:rPr>
          <w:lang w:val="en-US" w:eastAsia="zh-CN"/>
        </w:rPr>
        <w:t>“Final Report of 3GPP TSG RAN WG1 #93 v1.0.0”</w:t>
      </w:r>
      <w:r>
        <w:rPr>
          <w:rFonts w:hint="eastAsia"/>
          <w:lang w:val="en-US" w:eastAsia="zh-CN"/>
        </w:rPr>
        <w:t>, Busan, South Korea, May 21–25, 2018</w:t>
      </w:r>
      <w:bookmarkEnd w:id="13"/>
      <w:r>
        <w:rPr>
          <w:rFonts w:hint="eastAsia"/>
          <w:lang w:val="en-US" w:eastAsia="zh-CN"/>
        </w:rPr>
        <w:t>.</w:t>
      </w:r>
    </w:p>
    <w:p>
      <w:pPr>
        <w:pStyle w:val="111"/>
        <w:numPr>
          <w:ilvl w:val="0"/>
          <w:numId w:val="15"/>
        </w:numPr>
        <w:rPr>
          <w:lang w:eastAsia="zh-CN"/>
        </w:rPr>
      </w:pPr>
      <w:bookmarkStart w:id="14" w:name="_Ref20929"/>
      <w:r>
        <w:rPr>
          <w:rFonts w:hint="eastAsia"/>
          <w:lang w:eastAsia="zh-CN"/>
        </w:rPr>
        <w:t>Draft Report of 3GPP TSG RAN WG1 #95 v0.2.0</w:t>
      </w:r>
      <w:r>
        <w:rPr>
          <w:rFonts w:hint="eastAsia"/>
          <w:lang w:val="en-US" w:eastAsia="zh-CN"/>
        </w:rPr>
        <w:t xml:space="preserve">, </w:t>
      </w:r>
      <w:r>
        <w:rPr>
          <w:rFonts w:hint="eastAsia"/>
          <w:lang w:eastAsia="zh-CN"/>
        </w:rPr>
        <w:t>Spokane, USA, 12–16 November 2018</w:t>
      </w:r>
      <w:r>
        <w:rPr>
          <w:rFonts w:hint="eastAsia"/>
          <w:lang w:val="en-US" w:eastAsia="zh-CN"/>
        </w:rPr>
        <w:t>.</w:t>
      </w:r>
      <w:bookmarkEnd w:id="14"/>
    </w:p>
    <w:p>
      <w:pPr>
        <w:pStyle w:val="111"/>
        <w:numPr>
          <w:ilvl w:val="0"/>
          <w:numId w:val="15"/>
        </w:numPr>
        <w:rPr>
          <w:lang w:eastAsia="zh-CN"/>
        </w:rPr>
      </w:pPr>
      <w:bookmarkStart w:id="15" w:name="_Ref9794"/>
      <w:r>
        <w:rPr>
          <w:rFonts w:hint="eastAsia"/>
          <w:lang w:eastAsia="zh-CN"/>
        </w:rPr>
        <w:t>RP-182866</w:t>
      </w:r>
      <w:r>
        <w:rPr>
          <w:rFonts w:hint="eastAsia"/>
          <w:lang w:val="en-US" w:eastAsia="zh-CN"/>
        </w:rPr>
        <w:t>,</w:t>
      </w:r>
      <w:r>
        <w:rPr>
          <w:rFonts w:hint="eastAsia"/>
          <w:lang w:eastAsia="zh-CN"/>
        </w:rPr>
        <w:t xml:space="preserve"> </w:t>
      </w:r>
      <w:r>
        <w:rPr>
          <w:lang w:val="en-US" w:eastAsia="zh-CN"/>
        </w:rPr>
        <w:t>“</w:t>
      </w:r>
      <w:r>
        <w:rPr>
          <w:rFonts w:hint="eastAsia"/>
          <w:lang w:eastAsia="zh-CN"/>
        </w:rPr>
        <w:t>RAN1 NR UE features_v6</w:t>
      </w:r>
      <w:r>
        <w:rPr>
          <w:lang w:val="en-US" w:eastAsia="zh-CN"/>
        </w:rPr>
        <w:t>”</w:t>
      </w:r>
      <w:r>
        <w:rPr>
          <w:rFonts w:hint="eastAsia"/>
          <w:lang w:val="en-US" w:eastAsia="zh-CN"/>
        </w:rPr>
        <w:t>, Sorrento, Italy, December 10-13, 2018.</w:t>
      </w:r>
      <w:bookmarkEnd w:id="15"/>
    </w:p>
    <w:p>
      <w:pPr>
        <w:pStyle w:val="111"/>
        <w:numPr>
          <w:ilvl w:val="0"/>
          <w:numId w:val="15"/>
        </w:numPr>
        <w:rPr>
          <w:lang w:eastAsia="zh-CN"/>
        </w:rPr>
      </w:pPr>
      <w:bookmarkStart w:id="16" w:name="_Ref21804"/>
      <w:r>
        <w:rPr>
          <w:rFonts w:hint="eastAsia"/>
          <w:lang w:eastAsia="zh-CN"/>
        </w:rPr>
        <w:t>RP-181668</w:t>
      </w:r>
      <w:r>
        <w:rPr>
          <w:rFonts w:hint="eastAsia"/>
          <w:lang w:val="en-US" w:eastAsia="zh-CN"/>
        </w:rPr>
        <w:t xml:space="preserve">, </w:t>
      </w:r>
      <w:r>
        <w:rPr>
          <w:lang w:val="en-US" w:eastAsia="zh-CN"/>
        </w:rPr>
        <w:t>“Views on Support of cross-carrier scheduling with different numerologies in NR Rel-15”</w:t>
      </w:r>
      <w:r>
        <w:rPr>
          <w:rFonts w:hint="eastAsia"/>
          <w:lang w:val="en-US" w:eastAsia="zh-CN"/>
        </w:rPr>
        <w:t>, Gold Coast, Australia, September 10–13, 2018.</w:t>
      </w:r>
      <w:bookmarkEnd w:id="16"/>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A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0"/>
      </w:rPr>
      <w:fldChar w:fldCharType="begin"/>
    </w:r>
    <w:r>
      <w:rPr>
        <w:rStyle w:val="50"/>
      </w:rPr>
      <w:instrText xml:space="preserve"> PAGE </w:instrText>
    </w:r>
    <w:r>
      <w:rPr>
        <w:rStyle w:val="50"/>
      </w:rPr>
      <w:fldChar w:fldCharType="separate"/>
    </w:r>
    <w:r>
      <w:rPr>
        <w:rStyle w:val="50"/>
      </w:rPr>
      <w:t>7</w:t>
    </w:r>
    <w:r>
      <w:rPr>
        <w:rStyle w:val="50"/>
      </w:rPr>
      <w:fldChar w:fldCharType="end"/>
    </w:r>
    <w:r>
      <w:rPr>
        <w:rStyle w:val="50"/>
      </w:rPr>
      <w:t>/</w:t>
    </w:r>
    <w:r>
      <w:rPr>
        <w:rStyle w:val="50"/>
      </w:rPr>
      <w:fldChar w:fldCharType="begin"/>
    </w:r>
    <w:r>
      <w:rPr>
        <w:rStyle w:val="50"/>
      </w:rPr>
      <w:instrText xml:space="preserve"> NUMPAGES </w:instrText>
    </w:r>
    <w:r>
      <w:rPr>
        <w:rStyle w:val="50"/>
      </w:rPr>
      <w:fldChar w:fldCharType="separate"/>
    </w:r>
    <w:r>
      <w:rPr>
        <w:rStyle w:val="50"/>
      </w:rPr>
      <w:t>7</w:t>
    </w:r>
    <w:r>
      <w:rPr>
        <w:rStyle w:val="5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0"/>
      </w:rPr>
    </w:pPr>
    <w:r>
      <w:rPr>
        <w:rStyle w:val="50"/>
      </w:rPr>
      <w:fldChar w:fldCharType="begin"/>
    </w:r>
    <w:r>
      <w:rPr>
        <w:rStyle w:val="50"/>
      </w:rPr>
      <w:instrText xml:space="preserve">PAGE  </w:instrText>
    </w:r>
    <w:r>
      <w:rPr>
        <w:rStyle w:val="5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C082D"/>
    <w:multiLevelType w:val="multilevel"/>
    <w:tmpl w:val="026C082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2CC7125C"/>
    <w:multiLevelType w:val="singleLevel"/>
    <w:tmpl w:val="2CC7125C"/>
    <w:lvl w:ilvl="0" w:tentative="0">
      <w:start w:val="1"/>
      <w:numFmt w:val="bullet"/>
      <w:pStyle w:val="91"/>
      <w:lvlText w:val=""/>
      <w:lvlJc w:val="left"/>
      <w:pPr>
        <w:tabs>
          <w:tab w:val="left" w:pos="360"/>
        </w:tabs>
        <w:ind w:left="360" w:hanging="360"/>
      </w:pPr>
      <w:rPr>
        <w:rFonts w:hint="default" w:ascii="Symbol" w:hAnsi="Symbol"/>
      </w:rPr>
    </w:lvl>
  </w:abstractNum>
  <w:abstractNum w:abstractNumId="3">
    <w:nsid w:val="333524BA"/>
    <w:multiLevelType w:val="multilevel"/>
    <w:tmpl w:val="333524BA"/>
    <w:lvl w:ilvl="0" w:tentative="0">
      <w:start w:val="1"/>
      <w:numFmt w:val="decimal"/>
      <w:pStyle w:val="136"/>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8A56073"/>
    <w:multiLevelType w:val="multilevel"/>
    <w:tmpl w:val="38A5607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A877D64"/>
    <w:multiLevelType w:val="singleLevel"/>
    <w:tmpl w:val="3A877D64"/>
    <w:lvl w:ilvl="0" w:tentative="0">
      <w:start w:val="1"/>
      <w:numFmt w:val="decimal"/>
      <w:pStyle w:val="123"/>
      <w:lvlText w:val="[%1]"/>
      <w:lvlJc w:val="left"/>
      <w:pPr>
        <w:tabs>
          <w:tab w:val="left" w:pos="360"/>
        </w:tabs>
        <w:ind w:left="360" w:hanging="360"/>
      </w:pPr>
    </w:lvl>
  </w:abstractNum>
  <w:abstractNum w:abstractNumId="6">
    <w:nsid w:val="54352EDA"/>
    <w:multiLevelType w:val="multilevel"/>
    <w:tmpl w:val="54352EDA"/>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1F003CC"/>
    <w:multiLevelType w:val="multilevel"/>
    <w:tmpl w:val="61F003CC"/>
    <w:lvl w:ilvl="0" w:tentative="0">
      <w:start w:val="1"/>
      <w:numFmt w:val="decimal"/>
      <w:pStyle w:val="135"/>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67013CC"/>
    <w:multiLevelType w:val="multilevel"/>
    <w:tmpl w:val="667013C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66C60902"/>
    <w:multiLevelType w:val="multilevel"/>
    <w:tmpl w:val="66C60902"/>
    <w:lvl w:ilvl="0" w:tentative="0">
      <w:start w:val="1"/>
      <w:numFmt w:val="bullet"/>
      <w:pStyle w:val="11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FEB5FC7"/>
    <w:multiLevelType w:val="multilevel"/>
    <w:tmpl w:val="6FEB5FC7"/>
    <w:lvl w:ilvl="0" w:tentative="0">
      <w:start w:val="1"/>
      <w:numFmt w:val="decimal"/>
      <w:lvlText w:val="[%1]"/>
      <w:lvlJc w:val="left"/>
      <w:pPr>
        <w:ind w:left="420" w:hanging="420"/>
      </w:pPr>
      <w:rPr>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9C41A82"/>
    <w:multiLevelType w:val="multilevel"/>
    <w:tmpl w:val="79C41A82"/>
    <w:lvl w:ilvl="0" w:tentative="0">
      <w:start w:val="1"/>
      <w:numFmt w:val="decimal"/>
      <w:pStyle w:val="138"/>
      <w:lvlText w:val="Observation %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7BB2217D"/>
    <w:multiLevelType w:val="multilevel"/>
    <w:tmpl w:val="7BB2217D"/>
    <w:lvl w:ilvl="0" w:tentative="0">
      <w:start w:val="1"/>
      <w:numFmt w:val="decimal"/>
      <w:pStyle w:val="128"/>
      <w:lvlText w:val="Proposal %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9"/>
  </w:num>
  <w:num w:numId="4">
    <w:abstractNumId w:val="5"/>
  </w:num>
  <w:num w:numId="5">
    <w:abstractNumId w:val="12"/>
  </w:num>
  <w:num w:numId="6">
    <w:abstractNumId w:val="7"/>
  </w:num>
  <w:num w:numId="7">
    <w:abstractNumId w:val="3"/>
  </w:num>
  <w:num w:numId="8">
    <w:abstractNumId w:val="11"/>
  </w:num>
  <w:num w:numId="9">
    <w:abstractNumId w:val="4"/>
  </w:num>
  <w:num w:numId="10">
    <w:abstractNumId w:val="8"/>
  </w:num>
  <w:num w:numId="11">
    <w:abstractNumId w:val="0"/>
  </w:num>
  <w:num w:numId="12">
    <w:abstractNumId w:val="6"/>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94"/>
    <w:rsid w:val="00090573"/>
    <w:rsid w:val="0009077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E27"/>
    <w:rsid w:val="000D6E96"/>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D2C"/>
    <w:rsid w:val="000F1F98"/>
    <w:rsid w:val="000F20CD"/>
    <w:rsid w:val="000F2965"/>
    <w:rsid w:val="000F34C7"/>
    <w:rsid w:val="000F3B40"/>
    <w:rsid w:val="000F3F2F"/>
    <w:rsid w:val="000F42EA"/>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9BB"/>
    <w:rsid w:val="001010D7"/>
    <w:rsid w:val="0010129F"/>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CE4"/>
    <w:rsid w:val="00175EF2"/>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2AF"/>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ACD"/>
    <w:rsid w:val="00243B7F"/>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FC9"/>
    <w:rsid w:val="00365023"/>
    <w:rsid w:val="00365644"/>
    <w:rsid w:val="0036590C"/>
    <w:rsid w:val="003665C5"/>
    <w:rsid w:val="00366829"/>
    <w:rsid w:val="00366B3A"/>
    <w:rsid w:val="0036707B"/>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F25"/>
    <w:rsid w:val="003C638C"/>
    <w:rsid w:val="003C64CD"/>
    <w:rsid w:val="003C6580"/>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3A4"/>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909AD"/>
    <w:rsid w:val="00590BF6"/>
    <w:rsid w:val="00591B9C"/>
    <w:rsid w:val="00591C29"/>
    <w:rsid w:val="00592160"/>
    <w:rsid w:val="005923C9"/>
    <w:rsid w:val="00592630"/>
    <w:rsid w:val="0059284F"/>
    <w:rsid w:val="00592E68"/>
    <w:rsid w:val="0059323A"/>
    <w:rsid w:val="00593447"/>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A3A"/>
    <w:rsid w:val="005A6E87"/>
    <w:rsid w:val="005A7F72"/>
    <w:rsid w:val="005B0424"/>
    <w:rsid w:val="005B05DB"/>
    <w:rsid w:val="005B0A7D"/>
    <w:rsid w:val="005B0D23"/>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556"/>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231"/>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637C"/>
    <w:rsid w:val="00736732"/>
    <w:rsid w:val="00736803"/>
    <w:rsid w:val="00736886"/>
    <w:rsid w:val="00736D7B"/>
    <w:rsid w:val="007377ED"/>
    <w:rsid w:val="007379C8"/>
    <w:rsid w:val="007406A2"/>
    <w:rsid w:val="007406C0"/>
    <w:rsid w:val="00740AC1"/>
    <w:rsid w:val="00740B5C"/>
    <w:rsid w:val="00740BF9"/>
    <w:rsid w:val="00740DD7"/>
    <w:rsid w:val="0074108B"/>
    <w:rsid w:val="00741434"/>
    <w:rsid w:val="0074146A"/>
    <w:rsid w:val="007415B6"/>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B88"/>
    <w:rsid w:val="009022BC"/>
    <w:rsid w:val="0090255A"/>
    <w:rsid w:val="00902686"/>
    <w:rsid w:val="00902734"/>
    <w:rsid w:val="009027AE"/>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A63"/>
    <w:rsid w:val="00912A96"/>
    <w:rsid w:val="00912F6D"/>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952"/>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A0"/>
    <w:rsid w:val="00AB76D5"/>
    <w:rsid w:val="00AB7787"/>
    <w:rsid w:val="00AB78AC"/>
    <w:rsid w:val="00AB7913"/>
    <w:rsid w:val="00AB79A8"/>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40CF"/>
    <w:rsid w:val="00B4418B"/>
    <w:rsid w:val="00B44370"/>
    <w:rsid w:val="00B443C5"/>
    <w:rsid w:val="00B4485B"/>
    <w:rsid w:val="00B4493B"/>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A49"/>
    <w:rsid w:val="00B70EDB"/>
    <w:rsid w:val="00B71448"/>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3C6"/>
    <w:rsid w:val="00BE16CB"/>
    <w:rsid w:val="00BE197A"/>
    <w:rsid w:val="00BE1A06"/>
    <w:rsid w:val="00BE1F8E"/>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C66"/>
    <w:rsid w:val="00C464A1"/>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4B7"/>
    <w:rsid w:val="00CE5386"/>
    <w:rsid w:val="00CE53A7"/>
    <w:rsid w:val="00CE545A"/>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B68"/>
    <w:rsid w:val="00D4601D"/>
    <w:rsid w:val="00D466E5"/>
    <w:rsid w:val="00D467C7"/>
    <w:rsid w:val="00D4688E"/>
    <w:rsid w:val="00D46E3E"/>
    <w:rsid w:val="00D46F2D"/>
    <w:rsid w:val="00D470C1"/>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0F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75B"/>
    <w:rsid w:val="00F12909"/>
    <w:rsid w:val="00F12B3D"/>
    <w:rsid w:val="00F12D5D"/>
    <w:rsid w:val="00F13242"/>
    <w:rsid w:val="00F1403E"/>
    <w:rsid w:val="00F140FE"/>
    <w:rsid w:val="00F1415B"/>
    <w:rsid w:val="00F1418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481E"/>
    <w:rsid w:val="00F44833"/>
    <w:rsid w:val="00F45B82"/>
    <w:rsid w:val="00F46694"/>
    <w:rsid w:val="00F467B0"/>
    <w:rsid w:val="00F4683A"/>
    <w:rsid w:val="00F46E40"/>
    <w:rsid w:val="00F46EAB"/>
    <w:rsid w:val="00F46F8B"/>
    <w:rsid w:val="00F47132"/>
    <w:rsid w:val="00F47728"/>
    <w:rsid w:val="00F4786E"/>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64B4"/>
    <w:rsid w:val="00F56D31"/>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010"/>
    <w:rsid w:val="00F7315E"/>
    <w:rsid w:val="00F737F5"/>
    <w:rsid w:val="00F73F43"/>
    <w:rsid w:val="00F74664"/>
    <w:rsid w:val="00F74791"/>
    <w:rsid w:val="00F747FD"/>
    <w:rsid w:val="00F74A7A"/>
    <w:rsid w:val="00F75057"/>
    <w:rsid w:val="00F75C0B"/>
    <w:rsid w:val="00F763DF"/>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E7"/>
    <w:rsid w:val="00F93A3D"/>
    <w:rsid w:val="00F93A5F"/>
    <w:rsid w:val="00F9400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8E8"/>
    <w:rsid w:val="00FB19D8"/>
    <w:rsid w:val="00FB22E5"/>
    <w:rsid w:val="00FB2864"/>
    <w:rsid w:val="00FB2F94"/>
    <w:rsid w:val="00FB3CD6"/>
    <w:rsid w:val="00FB4065"/>
    <w:rsid w:val="00FB4760"/>
    <w:rsid w:val="00FB47B5"/>
    <w:rsid w:val="00FB4938"/>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455"/>
    <w:rsid w:val="00FF1716"/>
    <w:rsid w:val="00FF1920"/>
    <w:rsid w:val="00FF1ACF"/>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5D0"/>
    <w:rsid w:val="00FF78DB"/>
    <w:rsid w:val="00FF7A04"/>
    <w:rsid w:val="0284643E"/>
    <w:rsid w:val="03532C3F"/>
    <w:rsid w:val="067D4C1C"/>
    <w:rsid w:val="07C21FA9"/>
    <w:rsid w:val="0972706B"/>
    <w:rsid w:val="09C21BB6"/>
    <w:rsid w:val="0AFC60B7"/>
    <w:rsid w:val="0BAD7041"/>
    <w:rsid w:val="0C6F5654"/>
    <w:rsid w:val="0D132BA9"/>
    <w:rsid w:val="0D660AC2"/>
    <w:rsid w:val="10150A41"/>
    <w:rsid w:val="12A472D8"/>
    <w:rsid w:val="12FE321B"/>
    <w:rsid w:val="141F2191"/>
    <w:rsid w:val="1575AEB2"/>
    <w:rsid w:val="165E068A"/>
    <w:rsid w:val="1702D3F2"/>
    <w:rsid w:val="188D2058"/>
    <w:rsid w:val="192B740B"/>
    <w:rsid w:val="1C766428"/>
    <w:rsid w:val="1DD50930"/>
    <w:rsid w:val="1DF407BB"/>
    <w:rsid w:val="1F850095"/>
    <w:rsid w:val="1FB91CD0"/>
    <w:rsid w:val="20910CB1"/>
    <w:rsid w:val="20CD42FE"/>
    <w:rsid w:val="21282288"/>
    <w:rsid w:val="23680C07"/>
    <w:rsid w:val="239E142D"/>
    <w:rsid w:val="245870DE"/>
    <w:rsid w:val="247247A7"/>
    <w:rsid w:val="27DD67CA"/>
    <w:rsid w:val="28B07E55"/>
    <w:rsid w:val="2A0F0B23"/>
    <w:rsid w:val="2D376513"/>
    <w:rsid w:val="2DC863F1"/>
    <w:rsid w:val="32FE23BF"/>
    <w:rsid w:val="330E6893"/>
    <w:rsid w:val="3511129D"/>
    <w:rsid w:val="359455FE"/>
    <w:rsid w:val="36CD07B0"/>
    <w:rsid w:val="375C57D7"/>
    <w:rsid w:val="3A135075"/>
    <w:rsid w:val="3AB31D0C"/>
    <w:rsid w:val="3D7642C9"/>
    <w:rsid w:val="3E7347F4"/>
    <w:rsid w:val="3EF83C43"/>
    <w:rsid w:val="3FD010A5"/>
    <w:rsid w:val="41AC1D9C"/>
    <w:rsid w:val="4242619A"/>
    <w:rsid w:val="42B20782"/>
    <w:rsid w:val="44917C93"/>
    <w:rsid w:val="47AE2F53"/>
    <w:rsid w:val="496938E0"/>
    <w:rsid w:val="4CA149AE"/>
    <w:rsid w:val="4EAC0AFF"/>
    <w:rsid w:val="4EC2021D"/>
    <w:rsid w:val="50FD13B2"/>
    <w:rsid w:val="55D01D97"/>
    <w:rsid w:val="57EF6871"/>
    <w:rsid w:val="58240039"/>
    <w:rsid w:val="595A121E"/>
    <w:rsid w:val="5AF07FF7"/>
    <w:rsid w:val="5AF422E5"/>
    <w:rsid w:val="5F631FA8"/>
    <w:rsid w:val="656027FF"/>
    <w:rsid w:val="6A782EAA"/>
    <w:rsid w:val="6B704279"/>
    <w:rsid w:val="72E1752D"/>
    <w:rsid w:val="73A015C2"/>
    <w:rsid w:val="73A913CF"/>
    <w:rsid w:val="74000A47"/>
    <w:rsid w:val="74885606"/>
    <w:rsid w:val="75740E00"/>
    <w:rsid w:val="763A080C"/>
    <w:rsid w:val="76EB5B39"/>
    <w:rsid w:val="776F4F23"/>
    <w:rsid w:val="78156E78"/>
    <w:rsid w:val="782D5EAF"/>
    <w:rsid w:val="789F1175"/>
    <w:rsid w:val="7931734A"/>
    <w:rsid w:val="7ADB38D4"/>
    <w:rsid w:val="7DD2691C"/>
    <w:rsid w:val="7E3563A1"/>
    <w:rsid w:val="7E9326F9"/>
    <w:rsid w:val="7EE20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2"/>
    <w:qFormat/>
    <w:uiPriority w:val="0"/>
    <w:pPr>
      <w:numPr>
        <w:ilvl w:val="1"/>
      </w:numPr>
      <w:pBdr>
        <w:top w:val="none" w:color="auto" w:sz="0" w:space="0"/>
      </w:pBdr>
      <w:spacing w:before="180"/>
      <w:outlineLvl w:val="1"/>
    </w:pPr>
    <w:rPr>
      <w:sz w:val="32"/>
    </w:rPr>
  </w:style>
  <w:style w:type="paragraph" w:styleId="4">
    <w:name w:val="heading 3"/>
    <w:basedOn w:val="3"/>
    <w:next w:val="1"/>
    <w:link w:val="103"/>
    <w:qFormat/>
    <w:uiPriority w:val="0"/>
    <w:pPr>
      <w:numPr>
        <w:ilvl w:val="2"/>
      </w:numPr>
      <w:spacing w:before="120"/>
      <w:outlineLvl w:val="2"/>
    </w:pPr>
    <w:rPr>
      <w:sz w:val="28"/>
    </w:rPr>
  </w:style>
  <w:style w:type="paragraph" w:styleId="5">
    <w:name w:val="heading 4"/>
    <w:basedOn w:val="4"/>
    <w:next w:val="1"/>
    <w:link w:val="104"/>
    <w:qFormat/>
    <w:uiPriority w:val="0"/>
    <w:pPr>
      <w:numPr>
        <w:ilvl w:val="3"/>
      </w:numPr>
      <w:outlineLvl w:val="3"/>
    </w:pPr>
    <w:rPr>
      <w:sz w:val="24"/>
    </w:rPr>
  </w:style>
  <w:style w:type="paragraph" w:styleId="6">
    <w:name w:val="heading 5"/>
    <w:basedOn w:val="5"/>
    <w:next w:val="1"/>
    <w:link w:val="105"/>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49">
    <w:name w:val="Default Paragraph Font"/>
    <w:semiHidden/>
    <w:unhideWhenUsed/>
    <w:uiPriority w:val="1"/>
  </w:style>
  <w:style w:type="table" w:default="1" w:styleId="55">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5"/>
    <w:qFormat/>
    <w:uiPriority w:val="0"/>
    <w:rPr>
      <w:lang w:eastAsia="zh-CN"/>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27"/>
    <w:qFormat/>
    <w:uiPriority w:val="0"/>
    <w:pPr>
      <w:spacing w:before="120" w:after="120"/>
    </w:pPr>
    <w:rPr>
      <w:b/>
      <w:bCs/>
    </w:rPr>
  </w:style>
  <w:style w:type="paragraph" w:styleId="31">
    <w:name w:val="Document Map"/>
    <w:basedOn w:val="1"/>
    <w:semiHidden/>
    <w:qFormat/>
    <w:uiPriority w:val="0"/>
    <w:pPr>
      <w:shd w:val="clear" w:color="auto" w:fill="000080"/>
    </w:pPr>
    <w:rPr>
      <w:rFonts w:ascii="Tahoma" w:hAnsi="Tahoma"/>
    </w:rPr>
  </w:style>
  <w:style w:type="paragraph" w:styleId="32">
    <w:name w:val="Body Text 3"/>
    <w:basedOn w:val="1"/>
    <w:qFormat/>
    <w:uiPriority w:val="0"/>
    <w:rPr>
      <w:i/>
    </w:rPr>
  </w:style>
  <w:style w:type="paragraph" w:styleId="33">
    <w:name w:val="Body Text"/>
    <w:basedOn w:val="1"/>
    <w:link w:val="125"/>
    <w:qFormat/>
    <w:uiPriority w:val="0"/>
    <w:pPr>
      <w:spacing w:after="120"/>
    </w:pPr>
    <w:rPr>
      <w:rFonts w:ascii="Times" w:hAnsi="Times"/>
      <w:szCs w:val="24"/>
    </w:rPr>
  </w:style>
  <w:style w:type="paragraph" w:styleId="34">
    <w:name w:val="List Bullet 5"/>
    <w:basedOn w:val="26"/>
    <w:qFormat/>
    <w:uiPriority w:val="0"/>
    <w:pPr>
      <w:ind w:left="1702"/>
    </w:pPr>
  </w:style>
  <w:style w:type="paragraph" w:styleId="35">
    <w:name w:val="toc 8"/>
    <w:basedOn w:val="23"/>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4"/>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3"/>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character" w:styleId="50">
    <w:name w:val="page number"/>
    <w:basedOn w:val="49"/>
    <w:qFormat/>
    <w:uiPriority w:val="0"/>
  </w:style>
  <w:style w:type="character" w:styleId="51">
    <w:name w:val="FollowedHyperlink"/>
    <w:basedOn w:val="49"/>
    <w:semiHidden/>
    <w:unhideWhenUsed/>
    <w:qFormat/>
    <w:uiPriority w:val="0"/>
    <w:rPr>
      <w:color w:val="954F72" w:themeColor="followedHyperlink"/>
      <w:u w:val="single"/>
      <w14:textFill>
        <w14:solidFill>
          <w14:schemeClr w14:val="folHlink"/>
        </w14:solidFill>
      </w14:textFill>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position w:val="6"/>
      <w:sz w:val="16"/>
    </w:rPr>
  </w:style>
  <w:style w:type="table" w:styleId="56">
    <w:name w:val="Table Grid"/>
    <w:basedOn w:val="55"/>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59">
    <w:name w:val="TT"/>
    <w:basedOn w:val="2"/>
    <w:next w:val="1"/>
    <w:qFormat/>
    <w:uiPriority w:val="0"/>
    <w:pPr>
      <w:outlineLvl w:val="9"/>
    </w:pPr>
  </w:style>
  <w:style w:type="paragraph" w:customStyle="1" w:styleId="60">
    <w:name w:val="TAH"/>
    <w:basedOn w:val="61"/>
    <w:qFormat/>
    <w:uiPriority w:val="0"/>
    <w:rPr>
      <w:b/>
    </w:rPr>
  </w:style>
  <w:style w:type="paragraph" w:customStyle="1" w:styleId="61">
    <w:name w:val="TAC"/>
    <w:basedOn w:val="62"/>
    <w:link w:val="120"/>
    <w:qFormat/>
    <w:uiPriority w:val="0"/>
    <w:pPr>
      <w:jc w:val="center"/>
    </w:pPr>
  </w:style>
  <w:style w:type="paragraph" w:customStyle="1" w:styleId="62">
    <w:name w:val="TAL"/>
    <w:basedOn w:val="1"/>
    <w:qFormat/>
    <w:uiPriority w:val="0"/>
    <w:pPr>
      <w:keepNext/>
      <w:keepLines/>
      <w:spacing w:after="0"/>
    </w:pPr>
    <w:rPr>
      <w:rFonts w:ascii="Arial" w:hAnsi="Arial"/>
      <w:sz w:val="18"/>
    </w:rPr>
  </w:style>
  <w:style w:type="paragraph" w:customStyle="1" w:styleId="63">
    <w:name w:val="TF"/>
    <w:basedOn w:val="64"/>
    <w:qFormat/>
    <w:uiPriority w:val="0"/>
    <w:pPr>
      <w:keepNext w:val="0"/>
      <w:spacing w:before="0" w:after="240"/>
    </w:pPr>
  </w:style>
  <w:style w:type="paragraph" w:customStyle="1" w:styleId="64">
    <w:name w:val="TH"/>
    <w:basedOn w:val="1"/>
    <w:link w:val="121"/>
    <w:qFormat/>
    <w:uiPriority w:val="0"/>
    <w:pPr>
      <w:keepNext/>
      <w:keepLines/>
      <w:spacing w:before="60"/>
      <w:jc w:val="center"/>
    </w:pPr>
    <w:rPr>
      <w:rFonts w:ascii="Arial" w:hAnsi="Arial"/>
      <w:b/>
    </w:rPr>
  </w:style>
  <w:style w:type="paragraph" w:customStyle="1" w:styleId="65">
    <w:name w:val="NO"/>
    <w:basedOn w:val="1"/>
    <w:link w:val="130"/>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Editor's Note"/>
    <w:basedOn w:val="65"/>
    <w:qFormat/>
    <w:uiPriority w:val="0"/>
    <w:rPr>
      <w:color w:val="FF0000"/>
    </w:rPr>
  </w:style>
  <w:style w:type="paragraph" w:customStyle="1" w:styleId="84">
    <w:name w:val="B1"/>
    <w:basedOn w:val="14"/>
    <w:link w:val="131"/>
    <w:qFormat/>
    <w:uiPriority w:val="0"/>
  </w:style>
  <w:style w:type="paragraph" w:customStyle="1" w:styleId="85">
    <w:name w:val="B2"/>
    <w:basedOn w:val="13"/>
    <w:link w:val="132"/>
    <w:qFormat/>
    <w:uiPriority w:val="0"/>
  </w:style>
  <w:style w:type="paragraph" w:customStyle="1" w:styleId="86">
    <w:name w:val="B3"/>
    <w:basedOn w:val="12"/>
    <w:qFormat/>
    <w:uiPriority w:val="0"/>
  </w:style>
  <w:style w:type="paragraph" w:customStyle="1" w:styleId="87">
    <w:name w:val="B4"/>
    <w:basedOn w:val="42"/>
    <w:qFormat/>
    <w:uiPriority w:val="0"/>
  </w:style>
  <w:style w:type="paragraph" w:customStyle="1" w:styleId="88">
    <w:name w:val="B5"/>
    <w:basedOn w:val="41"/>
    <w:qFormat/>
    <w:uiPriority w:val="0"/>
  </w:style>
  <w:style w:type="paragraph" w:customStyle="1" w:styleId="89">
    <w:name w:val="ZTD"/>
    <w:basedOn w:val="77"/>
    <w:qFormat/>
    <w:uiPriority w:val="0"/>
    <w:pPr>
      <w:framePr w:hRule="auto" w:y="852"/>
    </w:pPr>
    <w:rPr>
      <w:i w:val="0"/>
      <w:sz w:val="40"/>
    </w:rPr>
  </w:style>
  <w:style w:type="character" w:customStyle="1" w:styleId="90">
    <w:name w:val="MTEquationSection"/>
    <w:qFormat/>
    <w:uiPriority w:val="0"/>
    <w:rPr>
      <w:rFonts w:ascii="Arial" w:hAnsi="Arial"/>
      <w:color w:val="FF0000"/>
      <w:sz w:val="24"/>
    </w:rPr>
  </w:style>
  <w:style w:type="paragraph" w:customStyle="1" w:styleId="91">
    <w:name w:val="Bulleted o 1"/>
    <w:basedOn w:val="1"/>
    <w:qFormat/>
    <w:uiPriority w:val="0"/>
    <w:pPr>
      <w:numPr>
        <w:ilvl w:val="0"/>
        <w:numId w:val="2"/>
      </w:numPr>
    </w:pPr>
  </w:style>
  <w:style w:type="paragraph" w:customStyle="1" w:styleId="92">
    <w:name w:val="text"/>
    <w:basedOn w:val="1"/>
    <w:qFormat/>
    <w:uiPriority w:val="0"/>
    <w:pPr>
      <w:spacing w:after="240"/>
    </w:pPr>
    <w:rPr>
      <w:sz w:val="24"/>
      <w:lang w:eastAsia="zh-CN"/>
    </w:rPr>
  </w:style>
  <w:style w:type="paragraph" w:customStyle="1" w:styleId="93">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4">
    <w:name w:val="00 BodyText"/>
    <w:basedOn w:val="1"/>
    <w:qFormat/>
    <w:uiPriority w:val="0"/>
    <w:pPr>
      <w:spacing w:after="220"/>
    </w:pPr>
    <w:rPr>
      <w:rFonts w:ascii="Arial" w:hAnsi="Arial"/>
      <w:sz w:val="22"/>
    </w:rPr>
  </w:style>
  <w:style w:type="paragraph" w:customStyle="1" w:styleId="95">
    <w:name w:val="11 BodyText"/>
    <w:basedOn w:val="1"/>
    <w:qFormat/>
    <w:uiPriority w:val="0"/>
    <w:pPr>
      <w:spacing w:after="220"/>
      <w:ind w:left="1298"/>
    </w:pPr>
    <w:rPr>
      <w:rFonts w:ascii="Arial" w:hAnsi="Arial"/>
      <w:sz w:val="22"/>
    </w:rPr>
  </w:style>
  <w:style w:type="paragraph" w:customStyle="1" w:styleId="96">
    <w:name w:val="table"/>
    <w:basedOn w:val="92"/>
    <w:next w:val="92"/>
    <w:qFormat/>
    <w:uiPriority w:val="0"/>
    <w:pPr>
      <w:spacing w:after="0"/>
      <w:jc w:val="center"/>
    </w:pPr>
    <w:rPr>
      <w:sz w:val="20"/>
    </w:rPr>
  </w:style>
  <w:style w:type="paragraph" w:customStyle="1" w:styleId="97">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98">
    <w:name w:val="Heading 1 Char"/>
    <w:qFormat/>
    <w:uiPriority w:val="0"/>
    <w:rPr>
      <w:rFonts w:ascii="Arial" w:hAnsi="Arial"/>
      <w:sz w:val="36"/>
      <w:lang w:val="en-GB" w:eastAsia="en-US" w:bidi="ar-SA"/>
    </w:rPr>
  </w:style>
  <w:style w:type="paragraph" w:customStyle="1" w:styleId="99">
    <w:name w:val="body"/>
    <w:basedOn w:val="1"/>
    <w:qFormat/>
    <w:uiPriority w:val="0"/>
    <w:pPr>
      <w:tabs>
        <w:tab w:val="left" w:pos="2160"/>
      </w:tabs>
      <w:spacing w:before="120" w:after="120" w:line="280" w:lineRule="atLeast"/>
    </w:pPr>
    <w:rPr>
      <w:rFonts w:ascii="New York" w:hAnsi="New York"/>
      <w:sz w:val="24"/>
    </w:rPr>
  </w:style>
  <w:style w:type="paragraph" w:customStyle="1" w:styleId="100">
    <w:name w:val="CR Cover Page"/>
    <w:qFormat/>
    <w:uiPriority w:val="0"/>
    <w:pPr>
      <w:spacing w:after="120"/>
    </w:pPr>
    <w:rPr>
      <w:rFonts w:ascii="Arial" w:hAnsi="Arial" w:eastAsia="MS Mincho" w:cs="Times New Roman"/>
      <w:lang w:val="en-GB" w:eastAsia="en-US" w:bidi="ar-SA"/>
    </w:rPr>
  </w:style>
  <w:style w:type="character" w:customStyle="1" w:styleId="101">
    <w:name w:val="Heading 1 Char1"/>
    <w:link w:val="2"/>
    <w:qFormat/>
    <w:uiPriority w:val="0"/>
    <w:rPr>
      <w:rFonts w:ascii="Arial" w:hAnsi="Arial"/>
      <w:sz w:val="36"/>
      <w:lang w:val="en-GB" w:eastAsia="en-US"/>
    </w:rPr>
  </w:style>
  <w:style w:type="character" w:customStyle="1" w:styleId="102">
    <w:name w:val="Heading 2 Char"/>
    <w:link w:val="3"/>
    <w:qFormat/>
    <w:uiPriority w:val="0"/>
    <w:rPr>
      <w:rFonts w:ascii="Arial" w:hAnsi="Arial"/>
      <w:sz w:val="32"/>
      <w:lang w:val="en-GB" w:eastAsia="en-US"/>
    </w:rPr>
  </w:style>
  <w:style w:type="character" w:customStyle="1" w:styleId="103">
    <w:name w:val="Heading 3 Char"/>
    <w:link w:val="4"/>
    <w:qFormat/>
    <w:uiPriority w:val="0"/>
    <w:rPr>
      <w:rFonts w:ascii="Arial" w:hAnsi="Arial"/>
      <w:sz w:val="28"/>
      <w:lang w:val="en-GB" w:eastAsia="en-US"/>
    </w:rPr>
  </w:style>
  <w:style w:type="character" w:customStyle="1" w:styleId="104">
    <w:name w:val="Heading 4 Char"/>
    <w:link w:val="5"/>
    <w:qFormat/>
    <w:uiPriority w:val="0"/>
    <w:rPr>
      <w:rFonts w:ascii="Arial" w:hAnsi="Arial"/>
      <w:sz w:val="24"/>
      <w:lang w:val="en-GB" w:eastAsia="en-US"/>
    </w:rPr>
  </w:style>
  <w:style w:type="character" w:customStyle="1" w:styleId="105">
    <w:name w:val="Heading 5 Char"/>
    <w:link w:val="6"/>
    <w:qFormat/>
    <w:uiPriority w:val="0"/>
    <w:rPr>
      <w:rFonts w:ascii="Arial" w:hAnsi="Arial"/>
      <w:sz w:val="22"/>
      <w:lang w:val="en-GB" w:eastAsia="en-US"/>
    </w:rPr>
  </w:style>
  <w:style w:type="character" w:customStyle="1" w:styleId="106">
    <w:name w:val="Char Char3"/>
    <w:qFormat/>
    <w:uiPriority w:val="0"/>
    <w:rPr>
      <w:rFonts w:ascii="Arial" w:hAnsi="Arial"/>
      <w:sz w:val="36"/>
      <w:lang w:val="en-GB" w:eastAsia="en-US" w:bidi="ar-SA"/>
    </w:rPr>
  </w:style>
  <w:style w:type="character" w:customStyle="1" w:styleId="107">
    <w:name w:val="Char Char2"/>
    <w:qFormat/>
    <w:uiPriority w:val="0"/>
    <w:rPr>
      <w:rFonts w:ascii="Arial" w:hAnsi="Arial"/>
      <w:sz w:val="32"/>
      <w:lang w:val="en-GB" w:eastAsia="en-US" w:bidi="ar-SA"/>
    </w:rPr>
  </w:style>
  <w:style w:type="character" w:customStyle="1" w:styleId="108">
    <w:name w:val="Char Char1"/>
    <w:qFormat/>
    <w:uiPriority w:val="0"/>
    <w:rPr>
      <w:rFonts w:ascii="Arial" w:hAnsi="Arial"/>
      <w:sz w:val="28"/>
      <w:lang w:val="en-GB" w:eastAsia="en-US" w:bidi="ar-SA"/>
    </w:rPr>
  </w:style>
  <w:style w:type="character" w:customStyle="1" w:styleId="109">
    <w:name w:val="h4 Char Char"/>
    <w:qFormat/>
    <w:uiPriority w:val="0"/>
    <w:rPr>
      <w:rFonts w:ascii="Arial" w:hAnsi="Arial"/>
      <w:sz w:val="24"/>
      <w:lang w:val="en-GB" w:eastAsia="en-US" w:bidi="ar-SA"/>
    </w:rPr>
  </w:style>
  <w:style w:type="character" w:customStyle="1" w:styleId="110">
    <w:name w:val="Char Char"/>
    <w:qFormat/>
    <w:uiPriority w:val="0"/>
    <w:rPr>
      <w:rFonts w:ascii="Arial" w:hAnsi="Arial"/>
      <w:sz w:val="22"/>
      <w:lang w:val="en-GB" w:eastAsia="en-US" w:bidi="ar-SA"/>
    </w:rPr>
  </w:style>
  <w:style w:type="paragraph" w:styleId="111">
    <w:name w:val="List Paragraph"/>
    <w:basedOn w:val="1"/>
    <w:link w:val="122"/>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2">
    <w:name w:val="Reference"/>
    <w:basedOn w:val="66"/>
    <w:qFormat/>
    <w:uiPriority w:val="0"/>
    <w:pPr>
      <w:tabs>
        <w:tab w:val="left" w:pos="360"/>
      </w:tabs>
      <w:suppressAutoHyphens/>
      <w:autoSpaceDN/>
      <w:adjustRightInd/>
      <w:ind w:left="0" w:firstLine="0"/>
    </w:pPr>
    <w:rPr>
      <w:lang w:eastAsia="ar-SA"/>
    </w:rPr>
  </w:style>
  <w:style w:type="character" w:customStyle="1" w:styleId="113">
    <w:name w:val="Subtitle Char"/>
    <w:link w:val="39"/>
    <w:qFormat/>
    <w:uiPriority w:val="0"/>
    <w:rPr>
      <w:rFonts w:ascii="Cambria" w:hAnsi="Cambria" w:eastAsia="Times New Roman" w:cs="Times New Roman"/>
      <w:sz w:val="24"/>
      <w:szCs w:val="24"/>
      <w:lang w:val="en-GB"/>
    </w:rPr>
  </w:style>
  <w:style w:type="paragraph" w:customStyle="1" w:styleId="114">
    <w:name w:val="修订1"/>
    <w:hidden/>
    <w:semiHidden/>
    <w:qFormat/>
    <w:uiPriority w:val="99"/>
    <w:rPr>
      <w:rFonts w:ascii="Times New Roman" w:hAnsi="Times New Roman" w:eastAsia="宋体" w:cs="Times New Roman"/>
      <w:lang w:val="en-GB" w:eastAsia="en-US" w:bidi="ar-SA"/>
    </w:rPr>
  </w:style>
  <w:style w:type="character" w:customStyle="1" w:styleId="115">
    <w:name w:val="Comment Text Char"/>
    <w:link w:val="16"/>
    <w:qFormat/>
    <w:uiPriority w:val="0"/>
    <w:rPr>
      <w:rFonts w:ascii="Times New Roman" w:hAnsi="Times New Roman"/>
      <w:lang w:val="en-GB"/>
    </w:rPr>
  </w:style>
  <w:style w:type="paragraph" w:customStyle="1" w:styleId="116">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1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18">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19">
    <w:name w:val="Placeholder Text"/>
    <w:semiHidden/>
    <w:qFormat/>
    <w:uiPriority w:val="99"/>
    <w:rPr>
      <w:color w:val="808080"/>
    </w:rPr>
  </w:style>
  <w:style w:type="character" w:customStyle="1" w:styleId="120">
    <w:name w:val="TAC Char"/>
    <w:link w:val="61"/>
    <w:qFormat/>
    <w:uiPriority w:val="0"/>
    <w:rPr>
      <w:rFonts w:ascii="Arial" w:hAnsi="Arial"/>
      <w:sz w:val="18"/>
      <w:lang w:val="en-GB" w:eastAsia="en-US"/>
    </w:rPr>
  </w:style>
  <w:style w:type="character" w:customStyle="1" w:styleId="121">
    <w:name w:val="TH Char"/>
    <w:link w:val="64"/>
    <w:qFormat/>
    <w:uiPriority w:val="0"/>
    <w:rPr>
      <w:rFonts w:ascii="Arial" w:hAnsi="Arial"/>
      <w:b/>
      <w:lang w:val="en-GB" w:eastAsia="en-US"/>
    </w:rPr>
  </w:style>
  <w:style w:type="character" w:customStyle="1" w:styleId="122">
    <w:name w:val="List Paragraph Char"/>
    <w:link w:val="111"/>
    <w:qFormat/>
    <w:locked/>
    <w:uiPriority w:val="34"/>
    <w:rPr>
      <w:rFonts w:ascii="Times New Roman" w:hAnsi="Times New Roman" w:eastAsia="Calibri"/>
      <w:szCs w:val="22"/>
      <w:lang w:val="en-GB" w:eastAsia="en-US"/>
    </w:rPr>
  </w:style>
  <w:style w:type="paragraph" w:customStyle="1" w:styleId="123">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4">
    <w:name w:val="Footer Char"/>
    <w:basedOn w:val="49"/>
    <w:link w:val="37"/>
    <w:qFormat/>
    <w:uiPriority w:val="99"/>
    <w:rPr>
      <w:rFonts w:ascii="Arial" w:hAnsi="Arial"/>
      <w:b/>
      <w:i/>
      <w:sz w:val="18"/>
      <w:lang w:eastAsia="en-US"/>
    </w:rPr>
  </w:style>
  <w:style w:type="character" w:customStyle="1" w:styleId="125">
    <w:name w:val="Body Text Char"/>
    <w:basedOn w:val="49"/>
    <w:link w:val="33"/>
    <w:qFormat/>
    <w:uiPriority w:val="0"/>
    <w:rPr>
      <w:rFonts w:ascii="Times" w:hAnsi="Times"/>
      <w:szCs w:val="24"/>
      <w:lang w:eastAsia="en-US"/>
    </w:rPr>
  </w:style>
  <w:style w:type="table" w:customStyle="1" w:styleId="126">
    <w:name w:val="网格表 4 - 着色 11"/>
    <w:basedOn w:val="55"/>
    <w:qFormat/>
    <w:uiPriority w:val="49"/>
    <w:rPr>
      <w:rFonts w:asciiTheme="minorHAnsi" w:hAnsiTheme="minorHAnsi" w:eastAsiaTheme="minorHAnsi" w:cstheme="minorBid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27">
    <w:name w:val="Caption Char"/>
    <w:link w:val="30"/>
    <w:qFormat/>
    <w:uiPriority w:val="99"/>
    <w:rPr>
      <w:rFonts w:ascii="Times New Roman" w:hAnsi="Times New Roman"/>
      <w:b/>
      <w:bCs/>
      <w:lang w:eastAsia="en-US"/>
    </w:rPr>
  </w:style>
  <w:style w:type="paragraph" w:customStyle="1" w:styleId="128">
    <w:name w:val="Proposal"/>
    <w:basedOn w:val="1"/>
    <w:link w:val="129"/>
    <w:qFormat/>
    <w:uiPriority w:val="0"/>
    <w:pPr>
      <w:numPr>
        <w:ilvl w:val="0"/>
        <w:numId w:val="5"/>
      </w:numPr>
      <w:tabs>
        <w:tab w:val="left" w:pos="1152"/>
      </w:tabs>
      <w:spacing w:before="240" w:after="240"/>
      <w:ind w:left="0" w:firstLine="0"/>
    </w:pPr>
    <w:rPr>
      <w:rFonts w:eastAsia="MS Mincho"/>
      <w:b/>
      <w:i/>
      <w:lang w:eastAsia="ja-JP"/>
    </w:rPr>
  </w:style>
  <w:style w:type="character" w:customStyle="1" w:styleId="129">
    <w:name w:val="Proposal Char"/>
    <w:basedOn w:val="49"/>
    <w:link w:val="128"/>
    <w:qFormat/>
    <w:uiPriority w:val="0"/>
    <w:rPr>
      <w:rFonts w:eastAsia="MS Mincho"/>
      <w:b/>
      <w:i/>
      <w:lang w:eastAsia="ja-JP"/>
    </w:rPr>
  </w:style>
  <w:style w:type="character" w:customStyle="1" w:styleId="130">
    <w:name w:val="NO Char"/>
    <w:basedOn w:val="49"/>
    <w:link w:val="65"/>
    <w:qFormat/>
    <w:locked/>
    <w:uiPriority w:val="0"/>
    <w:rPr>
      <w:rFonts w:ascii="Times New Roman" w:hAnsi="Times New Roman"/>
      <w:lang w:eastAsia="en-US"/>
    </w:rPr>
  </w:style>
  <w:style w:type="character" w:customStyle="1" w:styleId="131">
    <w:name w:val="B1 Char1"/>
    <w:basedOn w:val="49"/>
    <w:link w:val="84"/>
    <w:qFormat/>
    <w:locked/>
    <w:uiPriority w:val="0"/>
    <w:rPr>
      <w:rFonts w:ascii="Times New Roman" w:hAnsi="Times New Roman"/>
      <w:lang w:eastAsia="en-US"/>
    </w:rPr>
  </w:style>
  <w:style w:type="character" w:customStyle="1" w:styleId="132">
    <w:name w:val="B2 Char"/>
    <w:basedOn w:val="49"/>
    <w:link w:val="85"/>
    <w:qFormat/>
    <w:locked/>
    <w:uiPriority w:val="0"/>
    <w:rPr>
      <w:rFonts w:ascii="Times New Roman" w:hAnsi="Times New Roman"/>
      <w:lang w:eastAsia="en-US"/>
    </w:rPr>
  </w:style>
  <w:style w:type="character" w:customStyle="1" w:styleId="133">
    <w:name w:val="明显强调1"/>
    <w:basedOn w:val="49"/>
    <w:qFormat/>
    <w:uiPriority w:val="21"/>
    <w:rPr>
      <w:i/>
      <w:iCs/>
      <w:color w:val="5B9BD5" w:themeColor="accent1"/>
      <w14:textFill>
        <w14:solidFill>
          <w14:schemeClr w14:val="accent1"/>
        </w14:solidFill>
      </w14:textFill>
    </w:rPr>
  </w:style>
  <w:style w:type="character" w:customStyle="1" w:styleId="134">
    <w:name w:val="不明显强调1"/>
    <w:basedOn w:val="49"/>
    <w:qFormat/>
    <w:uiPriority w:val="19"/>
    <w:rPr>
      <w:i/>
      <w:iCs/>
      <w:color w:val="404040" w:themeColor="text1" w:themeTint="BF"/>
      <w14:textFill>
        <w14:solidFill>
          <w14:schemeClr w14:val="tx1">
            <w14:lumMod w14:val="75000"/>
            <w14:lumOff w14:val="25000"/>
          </w14:schemeClr>
        </w14:solidFill>
      </w14:textFill>
    </w:rPr>
  </w:style>
  <w:style w:type="paragraph" w:customStyle="1" w:styleId="135">
    <w:name w:val="Figure"/>
    <w:basedOn w:val="1"/>
    <w:link w:val="137"/>
    <w:qFormat/>
    <w:uiPriority w:val="0"/>
    <w:pPr>
      <w:numPr>
        <w:ilvl w:val="0"/>
        <w:numId w:val="6"/>
      </w:numPr>
      <w:jc w:val="center"/>
    </w:pPr>
  </w:style>
  <w:style w:type="paragraph" w:customStyle="1" w:styleId="136">
    <w:name w:val="Table"/>
    <w:basedOn w:val="135"/>
    <w:link w:val="139"/>
    <w:qFormat/>
    <w:uiPriority w:val="0"/>
    <w:pPr>
      <w:numPr>
        <w:numId w:val="7"/>
      </w:numPr>
    </w:pPr>
  </w:style>
  <w:style w:type="character" w:customStyle="1" w:styleId="137">
    <w:name w:val="Figure Char"/>
    <w:basedOn w:val="49"/>
    <w:link w:val="135"/>
    <w:qFormat/>
    <w:uiPriority w:val="0"/>
    <w:rPr>
      <w:rFonts w:ascii="Times New Roman" w:hAnsi="Times New Roman"/>
      <w:lang w:eastAsia="en-US"/>
    </w:rPr>
  </w:style>
  <w:style w:type="paragraph" w:customStyle="1" w:styleId="138">
    <w:name w:val="Observation"/>
    <w:basedOn w:val="128"/>
    <w:link w:val="140"/>
    <w:qFormat/>
    <w:uiPriority w:val="0"/>
    <w:pPr>
      <w:numPr>
        <w:ilvl w:val="0"/>
        <w:numId w:val="8"/>
      </w:numPr>
      <w:ind w:left="0" w:firstLine="0"/>
    </w:pPr>
  </w:style>
  <w:style w:type="character" w:customStyle="1" w:styleId="139">
    <w:name w:val="Table Char"/>
    <w:basedOn w:val="137"/>
    <w:link w:val="136"/>
    <w:qFormat/>
    <w:uiPriority w:val="0"/>
    <w:rPr>
      <w:rFonts w:ascii="Times New Roman" w:hAnsi="Times New Roman"/>
      <w:lang w:eastAsia="en-US"/>
    </w:rPr>
  </w:style>
  <w:style w:type="character" w:customStyle="1" w:styleId="140">
    <w:name w:val="Observation Char"/>
    <w:basedOn w:val="129"/>
    <w:link w:val="138"/>
    <w:qFormat/>
    <w:uiPriority w:val="0"/>
    <w:rPr>
      <w:rFonts w:eastAsia="MS Mincho"/>
      <w:lang w:eastAsia="ja-JP"/>
    </w:rPr>
  </w:style>
  <w:style w:type="table" w:customStyle="1" w:styleId="141">
    <w:name w:val="Table Grid1"/>
    <w:basedOn w:val="55"/>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2">
    <w:name w:val="Table Normal1"/>
    <w:basedOn w:val="55"/>
    <w:semiHidden/>
    <w:qFormat/>
    <w:uiPriority w:val="0"/>
    <w:rPr>
      <w:rFonts w:eastAsia="CG Times (WN)"/>
    </w:rPr>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jpe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9A84F5-E8C7-4A04-A70D-080AB610AB94}">
  <ds:schemaRefs/>
</ds:datastoreItem>
</file>

<file path=customXml/itemProps3.xml><?xml version="1.0" encoding="utf-8"?>
<ds:datastoreItem xmlns:ds="http://schemas.openxmlformats.org/officeDocument/2006/customXml" ds:itemID="{04BF5348-08CE-46A2-B6C7-D667930F0DC1}">
  <ds:schemaRefs/>
</ds:datastoreItem>
</file>

<file path=customXml/itemProps4.xml><?xml version="1.0" encoding="utf-8"?>
<ds:datastoreItem xmlns:ds="http://schemas.openxmlformats.org/officeDocument/2006/customXml" ds:itemID="{DE437376-A7B6-47B7-A9FE-9D6C62534131}">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4F156B33-FE54-4BF7-8206-606715473FFD}">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7</Pages>
  <Words>2986</Words>
  <Characters>17022</Characters>
  <Lines>141</Lines>
  <Paragraphs>39</Paragraphs>
  <TotalTime>150</TotalTime>
  <ScaleCrop>false</ScaleCrop>
  <LinksUpToDate>false</LinksUpToDate>
  <CharactersWithSpaces>19969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2019-01-11T03:30:00Z</dcterms:created>
  <dc:creator>ZTE Corporation</dc:creator>
  <cp:lastModifiedBy>ZTE-Xingguang</cp:lastModifiedBy>
  <cp:lastPrinted>2018-04-07T03:05:00Z</cp:lastPrinted>
  <dcterms:modified xsi:type="dcterms:W3CDTF">2019-01-11T13:14:28Z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